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55DA1">
      <w:pPr>
        <w:framePr w:wrap="auto" w:vAnchor="margin" w:hAnchor="text" w:yAlign="inline"/>
        <w:widowControl w:val="0"/>
        <w:wordWrap w:val="0"/>
        <w:spacing w:line="288" w:lineRule="auto"/>
        <w:jc w:val="center"/>
        <w:rPr>
          <w:rFonts w:hint="eastAsia" w:ascii="宋体" w:hAnsi="宋体" w:eastAsia="宋体" w:cs="宋体"/>
          <w:b/>
          <w:color w:val="auto"/>
          <w:sz w:val="40"/>
          <w:szCs w:val="40"/>
          <w:highlight w:val="none"/>
          <w:lang w:val="en-US" w:eastAsia="zh-CN"/>
        </w:rPr>
      </w:pPr>
    </w:p>
    <w:p w14:paraId="7C5AEC59">
      <w:pPr>
        <w:framePr w:wrap="auto" w:vAnchor="margin" w:hAnchor="text" w:yAlign="inline"/>
        <w:widowControl w:val="0"/>
        <w:wordWrap w:val="0"/>
        <w:spacing w:line="288" w:lineRule="auto"/>
        <w:jc w:val="center"/>
        <w:rPr>
          <w:rFonts w:hint="eastAsia" w:ascii="宋体" w:hAnsi="宋体" w:eastAsia="宋体" w:cs="宋体"/>
          <w:b/>
          <w:color w:val="auto"/>
          <w:sz w:val="48"/>
          <w:szCs w:val="48"/>
          <w:highlight w:val="none"/>
          <w:u w:val="none"/>
          <w:lang w:val="en-US" w:eastAsia="zh-CN"/>
        </w:rPr>
      </w:pPr>
    </w:p>
    <w:p w14:paraId="2DFD769F">
      <w:pPr>
        <w:framePr w:wrap="auto" w:vAnchor="margin" w:hAnchor="text" w:yAlign="inline"/>
        <w:widowControl w:val="0"/>
        <w:wordWrap w:val="0"/>
        <w:spacing w:line="288" w:lineRule="auto"/>
        <w:jc w:val="center"/>
        <w:rPr>
          <w:rFonts w:hint="eastAsia" w:ascii="宋体" w:hAnsi="宋体" w:eastAsia="宋体" w:cs="宋体"/>
          <w:b/>
          <w:color w:val="auto"/>
          <w:sz w:val="48"/>
          <w:szCs w:val="48"/>
          <w:highlight w:val="none"/>
          <w:u w:val="none"/>
          <w:lang w:val="en-US" w:eastAsia="zh-CN"/>
        </w:rPr>
      </w:pPr>
    </w:p>
    <w:p w14:paraId="755E4CD9">
      <w:pPr>
        <w:framePr w:wrap="auto" w:vAnchor="margin" w:hAnchor="text" w:yAlign="inline"/>
        <w:widowControl w:val="0"/>
        <w:wordWrap w:val="0"/>
        <w:spacing w:line="288" w:lineRule="auto"/>
        <w:jc w:val="center"/>
        <w:rPr>
          <w:rFonts w:hint="eastAsia" w:ascii="宋体" w:hAnsi="宋体" w:eastAsia="宋体" w:cs="宋体"/>
          <w:b/>
          <w:color w:val="auto"/>
          <w:sz w:val="48"/>
          <w:szCs w:val="48"/>
          <w:highlight w:val="none"/>
          <w:u w:val="none"/>
          <w:lang w:val="en-US" w:eastAsia="zh-CN"/>
        </w:rPr>
      </w:pPr>
    </w:p>
    <w:p w14:paraId="4525E20B">
      <w:pPr>
        <w:framePr w:wrap="auto" w:vAnchor="margin" w:hAnchor="text" w:yAlign="inline"/>
        <w:widowControl w:val="0"/>
        <w:wordWrap w:val="0"/>
        <w:spacing w:line="288" w:lineRule="auto"/>
        <w:jc w:val="center"/>
        <w:rPr>
          <w:rFonts w:hint="eastAsia" w:ascii="宋体" w:hAnsi="宋体" w:eastAsia="宋体" w:cs="宋体"/>
          <w:b/>
          <w:color w:val="auto"/>
          <w:sz w:val="48"/>
          <w:szCs w:val="48"/>
          <w:highlight w:val="none"/>
          <w:u w:val="none"/>
          <w:lang w:val="en-US" w:eastAsia="zh-CN"/>
        </w:rPr>
      </w:pPr>
    </w:p>
    <w:p w14:paraId="6F2702FE">
      <w:pPr>
        <w:framePr w:wrap="auto" w:vAnchor="margin" w:hAnchor="text" w:yAlign="inline"/>
        <w:widowControl w:val="0"/>
        <w:wordWrap w:val="0"/>
        <w:spacing w:line="288" w:lineRule="auto"/>
        <w:jc w:val="center"/>
        <w:rPr>
          <w:rFonts w:hint="eastAsia" w:ascii="宋体" w:hAnsi="宋体" w:eastAsia="宋体" w:cs="宋体"/>
          <w:b/>
          <w:color w:val="auto"/>
          <w:sz w:val="44"/>
          <w:szCs w:val="44"/>
          <w:highlight w:val="none"/>
          <w:u w:val="none"/>
          <w:lang w:eastAsia="zh-CN"/>
        </w:rPr>
      </w:pPr>
      <w:r>
        <w:rPr>
          <w:rFonts w:hint="eastAsia" w:ascii="宋体" w:hAnsi="宋体" w:eastAsia="宋体" w:cs="宋体"/>
          <w:b/>
          <w:color w:val="auto"/>
          <w:sz w:val="44"/>
          <w:szCs w:val="44"/>
          <w:highlight w:val="none"/>
          <w:u w:val="none"/>
          <w:lang w:val="en-US" w:eastAsia="zh-CN"/>
        </w:rPr>
        <w:t>广东省惠州市惠东县稔山镇蟹洲海堤水闸重建工程（编号04号）阻锈剂防腐剂材料采购竞价</w:t>
      </w:r>
      <w:r>
        <w:rPr>
          <w:rFonts w:hint="eastAsia" w:ascii="宋体" w:hAnsi="宋体" w:eastAsia="宋体" w:cs="宋体"/>
          <w:b/>
          <w:color w:val="auto"/>
          <w:sz w:val="44"/>
          <w:szCs w:val="44"/>
          <w:highlight w:val="none"/>
          <w:u w:val="none"/>
          <w:lang w:eastAsia="zh-CN"/>
        </w:rPr>
        <w:t>文件</w:t>
      </w:r>
    </w:p>
    <w:p w14:paraId="52253012">
      <w:pPr>
        <w:framePr w:wrap="auto" w:vAnchor="margin" w:hAnchor="text" w:yAlign="inline"/>
        <w:widowControl w:val="0"/>
        <w:wordWrap w:val="0"/>
        <w:spacing w:line="288" w:lineRule="auto"/>
        <w:ind w:firstLine="880" w:firstLineChars="200"/>
        <w:jc w:val="both"/>
        <w:rPr>
          <w:rFonts w:hint="eastAsia" w:ascii="宋体" w:hAnsi="宋体" w:eastAsia="宋体" w:cs="宋体"/>
          <w:color w:val="auto"/>
          <w:sz w:val="44"/>
          <w:szCs w:val="44"/>
          <w:highlight w:val="none"/>
          <w:lang w:eastAsia="zh-CN"/>
        </w:rPr>
      </w:pPr>
    </w:p>
    <w:p w14:paraId="4B751C6E">
      <w:pPr>
        <w:framePr w:wrap="auto" w:vAnchor="margin" w:hAnchor="text" w:yAlign="inline"/>
        <w:widowControl w:val="0"/>
        <w:wordWrap w:val="0"/>
        <w:spacing w:line="288" w:lineRule="auto"/>
        <w:ind w:firstLine="640" w:firstLineChars="200"/>
        <w:jc w:val="both"/>
        <w:rPr>
          <w:rFonts w:hint="eastAsia" w:ascii="宋体" w:hAnsi="宋体" w:eastAsia="宋体" w:cs="宋体"/>
          <w:color w:val="auto"/>
          <w:sz w:val="32"/>
          <w:szCs w:val="32"/>
          <w:highlight w:val="none"/>
          <w:lang w:eastAsia="zh-CN"/>
        </w:rPr>
      </w:pPr>
    </w:p>
    <w:p w14:paraId="1F2A3B5C">
      <w:pPr>
        <w:framePr w:wrap="auto" w:vAnchor="margin" w:hAnchor="text" w:yAlign="inline"/>
        <w:widowControl w:val="0"/>
        <w:wordWrap w:val="0"/>
        <w:spacing w:line="360" w:lineRule="auto"/>
        <w:jc w:val="center"/>
        <w:rPr>
          <w:rFonts w:hint="eastAsia" w:ascii="宋体" w:hAnsi="宋体" w:eastAsia="宋体" w:cs="宋体"/>
          <w:b/>
          <w:color w:val="auto"/>
          <w:sz w:val="44"/>
          <w:szCs w:val="44"/>
          <w:highlight w:val="none"/>
          <w:lang w:eastAsia="zh-CN"/>
        </w:rPr>
      </w:pPr>
    </w:p>
    <w:p w14:paraId="2F3F4CE3">
      <w:pPr>
        <w:pStyle w:val="28"/>
        <w:framePr w:wrap="auto" w:vAnchor="margin" w:hAnchor="text" w:yAlign="inline"/>
        <w:rPr>
          <w:rFonts w:hint="eastAsia" w:ascii="宋体" w:hAnsi="宋体" w:eastAsia="宋体" w:cs="宋体"/>
          <w:color w:val="auto"/>
          <w:highlight w:val="none"/>
          <w:lang w:eastAsia="zh-CN"/>
        </w:rPr>
      </w:pPr>
    </w:p>
    <w:p w14:paraId="31CC510C">
      <w:pPr>
        <w:framePr w:wrap="auto" w:vAnchor="margin" w:hAnchor="text" w:yAlign="inline"/>
        <w:widowControl w:val="0"/>
        <w:wordWrap w:val="0"/>
        <w:spacing w:line="360" w:lineRule="auto"/>
        <w:jc w:val="both"/>
        <w:rPr>
          <w:rFonts w:hint="eastAsia" w:ascii="宋体" w:hAnsi="宋体" w:eastAsia="宋体" w:cs="宋体"/>
          <w:color w:val="auto"/>
          <w:sz w:val="32"/>
          <w:szCs w:val="32"/>
          <w:highlight w:val="none"/>
          <w:lang w:eastAsia="zh-CN"/>
        </w:rPr>
      </w:pPr>
    </w:p>
    <w:p w14:paraId="1D4D4FCE">
      <w:pPr>
        <w:pStyle w:val="28"/>
        <w:rPr>
          <w:rFonts w:hint="eastAsia" w:ascii="宋体" w:hAnsi="宋体" w:eastAsia="宋体" w:cs="宋体"/>
          <w:color w:val="auto"/>
          <w:highlight w:val="none"/>
          <w:lang w:eastAsia="zh-CN"/>
        </w:rPr>
      </w:pPr>
    </w:p>
    <w:p w14:paraId="2A256217">
      <w:pPr>
        <w:pStyle w:val="31"/>
        <w:framePr w:wrap="auto" w:vAnchor="margin" w:hAnchor="text" w:yAlign="inline"/>
        <w:wordWrap w:val="0"/>
        <w:spacing w:line="72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广东高丰建设工程有限公司</w:t>
      </w:r>
    </w:p>
    <w:p w14:paraId="6630CF56">
      <w:pPr>
        <w:pStyle w:val="31"/>
        <w:framePr w:wrap="auto" w:vAnchor="margin" w:hAnchor="text" w:yAlign="inline"/>
        <w:wordWrap w:val="0"/>
        <w:spacing w:line="72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惠州志宏工程监理咨询有限公司</w:t>
      </w:r>
    </w:p>
    <w:p w14:paraId="2BB404CD">
      <w:pPr>
        <w:pStyle w:val="31"/>
        <w:framePr w:wrap="auto" w:vAnchor="margin" w:hAnchor="text" w:yAlign="inline"/>
        <w:wordWrap w:val="0"/>
        <w:spacing w:line="720" w:lineRule="exact"/>
        <w:jc w:val="center"/>
        <w:rPr>
          <w:rFonts w:hint="eastAsia" w:ascii="宋体" w:hAnsi="宋体" w:eastAsia="宋体" w:cs="宋体"/>
          <w:b/>
          <w:bCs/>
          <w:color w:val="auto"/>
          <w:sz w:val="44"/>
          <w:szCs w:val="44"/>
          <w:highlight w:val="none"/>
          <w:lang w:eastAsia="zh-CN"/>
        </w:rPr>
      </w:pPr>
      <w:r>
        <w:rPr>
          <w:rFonts w:hint="eastAsia" w:ascii="宋体" w:hAnsi="宋体" w:eastAsia="宋体" w:cs="宋体"/>
          <w:b/>
          <w:color w:val="auto"/>
          <w:sz w:val="32"/>
          <w:szCs w:val="32"/>
          <w:highlight w:val="none"/>
          <w:lang w:eastAsia="zh-CN"/>
        </w:rPr>
        <w:t>2025年11月7日</w:t>
      </w:r>
    </w:p>
    <w:p w14:paraId="44A8A73A">
      <w:pPr>
        <w:framePr w:wrap="auto" w:vAnchor="margin" w:hAnchor="text" w:yAlign="inline"/>
        <w:wordWrap w:val="0"/>
        <w:rPr>
          <w:rFonts w:hint="eastAsia" w:ascii="宋体" w:hAnsi="宋体" w:eastAsia="宋体" w:cs="宋体"/>
          <w:b/>
          <w:bCs/>
          <w:color w:val="auto"/>
          <w:sz w:val="44"/>
          <w:szCs w:val="44"/>
          <w:highlight w:val="none"/>
          <w:lang w:val="zh-TW" w:eastAsia="zh-TW"/>
        </w:rPr>
        <w:sectPr>
          <w:headerReference r:id="rId3" w:type="default"/>
          <w:footerReference r:id="rId4" w:type="default"/>
          <w:pgSz w:w="11900" w:h="16840"/>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linePitch="0" w:charSpace="0"/>
        </w:sectPr>
      </w:pPr>
    </w:p>
    <w:p w14:paraId="4D071A2F">
      <w:pPr>
        <w:pStyle w:val="31"/>
        <w:framePr w:wrap="auto" w:vAnchor="margin" w:hAnchor="text" w:yAlign="inline"/>
        <w:wordWrap w:val="0"/>
        <w:spacing w:line="440" w:lineRule="exact"/>
        <w:jc w:val="center"/>
        <w:outlineLvl w:val="9"/>
        <w:rPr>
          <w:rFonts w:hint="eastAsia" w:ascii="宋体" w:hAnsi="宋体" w:eastAsia="宋体" w:cs="宋体"/>
          <w:b/>
          <w:bCs/>
          <w:color w:val="auto"/>
          <w:sz w:val="44"/>
          <w:szCs w:val="44"/>
          <w:highlight w:val="none"/>
          <w:lang w:val="zh-TW" w:eastAsia="zh-TW"/>
        </w:rPr>
      </w:pPr>
      <w:r>
        <w:rPr>
          <w:rFonts w:hint="eastAsia" w:ascii="宋体" w:hAnsi="宋体" w:eastAsia="宋体" w:cs="宋体"/>
          <w:b/>
          <w:bCs/>
          <w:color w:val="auto"/>
          <w:sz w:val="44"/>
          <w:szCs w:val="44"/>
          <w:highlight w:val="none"/>
          <w:lang w:val="zh-TW" w:eastAsia="zh-TW"/>
        </w:rPr>
        <w:t>目    录</w:t>
      </w:r>
    </w:p>
    <w:p w14:paraId="4C32D395">
      <w:pPr>
        <w:pStyle w:val="14"/>
        <w:framePr w:h="7226" w:hRule="exact" w:wrap="around" w:vAnchor="page" w:hAnchor="page" w:x="1962" w:y="2027"/>
        <w:tabs>
          <w:tab w:val="right" w:leader="dot" w:pos="8400"/>
        </w:tabs>
        <w:spacing w:line="600" w:lineRule="auto"/>
        <w:rPr>
          <w:sz w:val="32"/>
          <w:szCs w:val="32"/>
        </w:rPr>
      </w:pPr>
      <w:r>
        <w:rPr>
          <w:rFonts w:hint="eastAsia" w:ascii="宋体" w:hAnsi="宋体" w:eastAsia="宋体" w:cs="宋体"/>
          <w:b/>
          <w:bCs/>
          <w:color w:val="auto"/>
          <w:sz w:val="52"/>
          <w:szCs w:val="52"/>
          <w:highlight w:val="none"/>
        </w:rPr>
        <w:fldChar w:fldCharType="begin"/>
      </w:r>
      <w:r>
        <w:rPr>
          <w:rFonts w:hint="eastAsia" w:ascii="宋体" w:hAnsi="宋体" w:eastAsia="宋体" w:cs="宋体"/>
          <w:b/>
          <w:bCs/>
          <w:color w:val="auto"/>
          <w:sz w:val="52"/>
          <w:szCs w:val="52"/>
          <w:highlight w:val="none"/>
        </w:rPr>
        <w:instrText xml:space="preserve">TOC \o "1-2" \h \u </w:instrText>
      </w:r>
      <w:r>
        <w:rPr>
          <w:rFonts w:hint="eastAsia" w:ascii="宋体" w:hAnsi="宋体" w:eastAsia="宋体" w:cs="宋体"/>
          <w:b/>
          <w:bCs/>
          <w:color w:val="auto"/>
          <w:sz w:val="52"/>
          <w:szCs w:val="52"/>
          <w:highlight w:val="none"/>
        </w:rPr>
        <w:fldChar w:fldCharType="separate"/>
      </w:r>
      <w:r>
        <w:rPr>
          <w:rFonts w:hint="eastAsia" w:ascii="宋体" w:hAnsi="宋体" w:eastAsia="宋体" w:cs="宋体"/>
          <w:bCs/>
          <w:color w:val="auto"/>
          <w:sz w:val="32"/>
          <w:szCs w:val="52"/>
          <w:highlight w:val="none"/>
        </w:rPr>
        <w:fldChar w:fldCharType="begin"/>
      </w:r>
      <w:r>
        <w:rPr>
          <w:rFonts w:hint="eastAsia" w:ascii="宋体" w:hAnsi="宋体" w:eastAsia="宋体" w:cs="宋体"/>
          <w:bCs/>
          <w:sz w:val="32"/>
          <w:szCs w:val="52"/>
          <w:highlight w:val="none"/>
        </w:rPr>
        <w:instrText xml:space="preserve"> HYPERLINK \l _Toc19783 </w:instrText>
      </w:r>
      <w:r>
        <w:rPr>
          <w:rFonts w:hint="eastAsia" w:ascii="宋体" w:hAnsi="宋体" w:eastAsia="宋体" w:cs="宋体"/>
          <w:bCs/>
          <w:sz w:val="32"/>
          <w:szCs w:val="52"/>
          <w:highlight w:val="none"/>
        </w:rPr>
        <w:fldChar w:fldCharType="separate"/>
      </w:r>
      <w:r>
        <w:rPr>
          <w:rFonts w:hint="eastAsia" w:ascii="宋体" w:hAnsi="宋体" w:eastAsia="宋体" w:cs="宋体"/>
          <w:bCs/>
          <w:sz w:val="32"/>
          <w:szCs w:val="40"/>
          <w:highlight w:val="none"/>
          <w:lang w:val="en-US" w:eastAsia="zh-CN"/>
        </w:rPr>
        <w:t>第一部分</w:t>
      </w:r>
      <w:r>
        <w:rPr>
          <w:rFonts w:hint="eastAsia" w:ascii="宋体" w:hAnsi="宋体" w:eastAsia="宋体" w:cs="宋体"/>
          <w:bCs/>
          <w:sz w:val="32"/>
          <w:szCs w:val="40"/>
          <w:highlight w:val="none"/>
          <w:lang w:val="zh-TW" w:eastAsia="zh-TW"/>
        </w:rPr>
        <w:t xml:space="preserve">  </w:t>
      </w:r>
      <w:r>
        <w:rPr>
          <w:rFonts w:hint="eastAsia" w:ascii="宋体" w:hAnsi="宋体" w:eastAsia="宋体" w:cs="宋体"/>
          <w:bCs/>
          <w:sz w:val="32"/>
          <w:szCs w:val="40"/>
          <w:highlight w:val="none"/>
          <w:lang w:val="en-US" w:eastAsia="zh-CN"/>
        </w:rPr>
        <w:t>竞价</w:t>
      </w:r>
      <w:r>
        <w:rPr>
          <w:rFonts w:hint="eastAsia" w:ascii="宋体" w:hAnsi="宋体" w:eastAsia="宋体" w:cs="宋体"/>
          <w:bCs/>
          <w:sz w:val="32"/>
          <w:szCs w:val="40"/>
          <w:highlight w:val="none"/>
          <w:lang w:val="zh-TW" w:eastAsia="zh-TW"/>
        </w:rPr>
        <w:t>公告</w:t>
      </w:r>
      <w:r>
        <w:rPr>
          <w:sz w:val="32"/>
          <w:szCs w:val="32"/>
        </w:rPr>
        <w:tab/>
      </w:r>
      <w:r>
        <w:rPr>
          <w:sz w:val="32"/>
          <w:szCs w:val="32"/>
        </w:rPr>
        <w:fldChar w:fldCharType="begin"/>
      </w:r>
      <w:r>
        <w:rPr>
          <w:sz w:val="32"/>
          <w:szCs w:val="32"/>
        </w:rPr>
        <w:instrText xml:space="preserve"> PAGEREF _Toc19783 \h </w:instrText>
      </w:r>
      <w:r>
        <w:rPr>
          <w:sz w:val="32"/>
          <w:szCs w:val="32"/>
        </w:rPr>
        <w:fldChar w:fldCharType="separate"/>
      </w:r>
      <w:r>
        <w:rPr>
          <w:sz w:val="32"/>
          <w:szCs w:val="32"/>
        </w:rPr>
        <w:t>3</w:t>
      </w:r>
      <w:r>
        <w:rPr>
          <w:sz w:val="32"/>
          <w:szCs w:val="32"/>
        </w:rPr>
        <w:fldChar w:fldCharType="end"/>
      </w:r>
      <w:r>
        <w:rPr>
          <w:rFonts w:hint="eastAsia" w:ascii="宋体" w:hAnsi="宋体" w:eastAsia="宋体" w:cs="宋体"/>
          <w:bCs/>
          <w:color w:val="auto"/>
          <w:sz w:val="32"/>
          <w:szCs w:val="52"/>
          <w:highlight w:val="none"/>
        </w:rPr>
        <w:fldChar w:fldCharType="end"/>
      </w:r>
    </w:p>
    <w:p w14:paraId="5C779F4E">
      <w:pPr>
        <w:pStyle w:val="14"/>
        <w:framePr w:h="7226" w:hRule="exact" w:wrap="around" w:vAnchor="page" w:hAnchor="page" w:x="1962" w:y="2027"/>
        <w:tabs>
          <w:tab w:val="right" w:leader="dot" w:pos="8400"/>
        </w:tabs>
        <w:spacing w:line="600" w:lineRule="auto"/>
        <w:rPr>
          <w:sz w:val="32"/>
          <w:szCs w:val="32"/>
        </w:rPr>
      </w:pPr>
      <w:r>
        <w:rPr>
          <w:rFonts w:hint="eastAsia" w:ascii="宋体" w:hAnsi="宋体" w:eastAsia="宋体" w:cs="宋体"/>
          <w:bCs/>
          <w:color w:val="auto"/>
          <w:sz w:val="32"/>
          <w:szCs w:val="52"/>
          <w:highlight w:val="none"/>
        </w:rPr>
        <w:fldChar w:fldCharType="begin"/>
      </w:r>
      <w:r>
        <w:rPr>
          <w:rFonts w:hint="eastAsia" w:ascii="宋体" w:hAnsi="宋体" w:eastAsia="宋体" w:cs="宋体"/>
          <w:bCs/>
          <w:sz w:val="32"/>
          <w:szCs w:val="52"/>
          <w:highlight w:val="none"/>
        </w:rPr>
        <w:instrText xml:space="preserve"> HYPERLINK \l _Toc23739 </w:instrText>
      </w:r>
      <w:r>
        <w:rPr>
          <w:rFonts w:hint="eastAsia" w:ascii="宋体" w:hAnsi="宋体" w:eastAsia="宋体" w:cs="宋体"/>
          <w:bCs/>
          <w:sz w:val="32"/>
          <w:szCs w:val="52"/>
          <w:highlight w:val="none"/>
        </w:rPr>
        <w:fldChar w:fldCharType="separate"/>
      </w:r>
      <w:r>
        <w:rPr>
          <w:rFonts w:hint="eastAsia" w:ascii="宋体" w:hAnsi="宋体" w:eastAsia="宋体" w:cs="宋体"/>
          <w:bCs/>
          <w:sz w:val="32"/>
          <w:szCs w:val="40"/>
          <w:highlight w:val="none"/>
          <w:lang w:val="zh-TW" w:eastAsia="zh-TW"/>
        </w:rPr>
        <w:t>第</w:t>
      </w:r>
      <w:r>
        <w:rPr>
          <w:rFonts w:hint="eastAsia" w:ascii="宋体" w:hAnsi="宋体" w:eastAsia="宋体" w:cs="宋体"/>
          <w:bCs/>
          <w:sz w:val="32"/>
          <w:szCs w:val="40"/>
          <w:highlight w:val="none"/>
          <w:lang w:eastAsia="zh-CN"/>
        </w:rPr>
        <w:t>二</w:t>
      </w:r>
      <w:r>
        <w:rPr>
          <w:rFonts w:hint="eastAsia" w:ascii="宋体" w:hAnsi="宋体" w:eastAsia="宋体" w:cs="宋体"/>
          <w:bCs/>
          <w:sz w:val="32"/>
          <w:szCs w:val="40"/>
          <w:highlight w:val="none"/>
          <w:lang w:val="zh-TW" w:eastAsia="zh-TW"/>
        </w:rPr>
        <w:t xml:space="preserve">部分  </w:t>
      </w:r>
      <w:r>
        <w:rPr>
          <w:rFonts w:hint="eastAsia" w:ascii="宋体" w:hAnsi="宋体" w:eastAsia="宋体" w:cs="宋体"/>
          <w:bCs/>
          <w:sz w:val="32"/>
          <w:szCs w:val="40"/>
          <w:highlight w:val="none"/>
          <w:lang w:eastAsia="zh-CN"/>
        </w:rPr>
        <w:t>参选人须知</w:t>
      </w:r>
      <w:r>
        <w:rPr>
          <w:sz w:val="32"/>
          <w:szCs w:val="32"/>
        </w:rPr>
        <w:tab/>
      </w:r>
      <w:r>
        <w:rPr>
          <w:sz w:val="32"/>
          <w:szCs w:val="32"/>
        </w:rPr>
        <w:fldChar w:fldCharType="begin"/>
      </w:r>
      <w:r>
        <w:rPr>
          <w:sz w:val="32"/>
          <w:szCs w:val="32"/>
        </w:rPr>
        <w:instrText xml:space="preserve"> PAGEREF _Toc23739 \h </w:instrText>
      </w:r>
      <w:r>
        <w:rPr>
          <w:sz w:val="32"/>
          <w:szCs w:val="32"/>
        </w:rPr>
        <w:fldChar w:fldCharType="separate"/>
      </w:r>
      <w:r>
        <w:rPr>
          <w:sz w:val="32"/>
          <w:szCs w:val="32"/>
        </w:rPr>
        <w:t>6</w:t>
      </w:r>
      <w:r>
        <w:rPr>
          <w:sz w:val="32"/>
          <w:szCs w:val="32"/>
        </w:rPr>
        <w:fldChar w:fldCharType="end"/>
      </w:r>
      <w:r>
        <w:rPr>
          <w:rFonts w:hint="eastAsia" w:ascii="宋体" w:hAnsi="宋体" w:eastAsia="宋体" w:cs="宋体"/>
          <w:bCs/>
          <w:color w:val="auto"/>
          <w:sz w:val="32"/>
          <w:szCs w:val="52"/>
          <w:highlight w:val="none"/>
        </w:rPr>
        <w:fldChar w:fldCharType="end"/>
      </w:r>
    </w:p>
    <w:p w14:paraId="6403504C">
      <w:pPr>
        <w:pStyle w:val="14"/>
        <w:framePr w:h="7226" w:hRule="exact" w:wrap="around" w:vAnchor="page" w:hAnchor="page" w:x="1962" w:y="2027"/>
        <w:tabs>
          <w:tab w:val="right" w:leader="dot" w:pos="8400"/>
        </w:tabs>
        <w:spacing w:line="600" w:lineRule="auto"/>
        <w:rPr>
          <w:sz w:val="32"/>
          <w:szCs w:val="32"/>
        </w:rPr>
      </w:pPr>
      <w:r>
        <w:rPr>
          <w:rFonts w:hint="eastAsia" w:ascii="宋体" w:hAnsi="宋体" w:eastAsia="宋体" w:cs="宋体"/>
          <w:bCs/>
          <w:color w:val="auto"/>
          <w:sz w:val="32"/>
          <w:szCs w:val="52"/>
          <w:highlight w:val="none"/>
        </w:rPr>
        <w:fldChar w:fldCharType="begin"/>
      </w:r>
      <w:r>
        <w:rPr>
          <w:rFonts w:hint="eastAsia" w:ascii="宋体" w:hAnsi="宋体" w:eastAsia="宋体" w:cs="宋体"/>
          <w:bCs/>
          <w:sz w:val="32"/>
          <w:szCs w:val="52"/>
          <w:highlight w:val="none"/>
        </w:rPr>
        <w:instrText xml:space="preserve"> HYPERLINK \l _Toc11382 </w:instrText>
      </w:r>
      <w:r>
        <w:rPr>
          <w:rFonts w:hint="eastAsia" w:ascii="宋体" w:hAnsi="宋体" w:eastAsia="宋体" w:cs="宋体"/>
          <w:bCs/>
          <w:sz w:val="32"/>
          <w:szCs w:val="52"/>
          <w:highlight w:val="none"/>
        </w:rPr>
        <w:fldChar w:fldCharType="separate"/>
      </w:r>
      <w:r>
        <w:rPr>
          <w:rFonts w:hint="eastAsia" w:ascii="宋体" w:hAnsi="宋体" w:eastAsia="宋体" w:cs="宋体"/>
          <w:bCs/>
          <w:sz w:val="32"/>
          <w:szCs w:val="40"/>
          <w:lang w:val="en-US" w:eastAsia="zh-CN"/>
        </w:rPr>
        <w:t xml:space="preserve">第三部分 </w:t>
      </w:r>
      <w:r>
        <w:rPr>
          <w:rFonts w:hint="eastAsia" w:ascii="宋体" w:hAnsi="宋体" w:eastAsia="宋体" w:cs="宋体"/>
          <w:bCs/>
          <w:sz w:val="32"/>
          <w:szCs w:val="40"/>
          <w:highlight w:val="none"/>
          <w:lang w:val="en-US" w:eastAsia="zh-CN"/>
        </w:rPr>
        <w:t>工程量清单</w:t>
      </w:r>
      <w:r>
        <w:rPr>
          <w:sz w:val="32"/>
          <w:szCs w:val="32"/>
        </w:rPr>
        <w:tab/>
      </w:r>
      <w:r>
        <w:rPr>
          <w:sz w:val="32"/>
          <w:szCs w:val="32"/>
        </w:rPr>
        <w:fldChar w:fldCharType="begin"/>
      </w:r>
      <w:r>
        <w:rPr>
          <w:sz w:val="32"/>
          <w:szCs w:val="32"/>
        </w:rPr>
        <w:instrText xml:space="preserve"> PAGEREF _Toc11382 \h </w:instrText>
      </w:r>
      <w:r>
        <w:rPr>
          <w:sz w:val="32"/>
          <w:szCs w:val="32"/>
        </w:rPr>
        <w:fldChar w:fldCharType="separate"/>
      </w:r>
      <w:r>
        <w:rPr>
          <w:sz w:val="32"/>
          <w:szCs w:val="32"/>
        </w:rPr>
        <w:t>12</w:t>
      </w:r>
      <w:r>
        <w:rPr>
          <w:sz w:val="32"/>
          <w:szCs w:val="32"/>
        </w:rPr>
        <w:fldChar w:fldCharType="end"/>
      </w:r>
      <w:r>
        <w:rPr>
          <w:rFonts w:hint="eastAsia" w:ascii="宋体" w:hAnsi="宋体" w:eastAsia="宋体" w:cs="宋体"/>
          <w:bCs/>
          <w:color w:val="auto"/>
          <w:sz w:val="32"/>
          <w:szCs w:val="52"/>
          <w:highlight w:val="none"/>
        </w:rPr>
        <w:fldChar w:fldCharType="end"/>
      </w:r>
    </w:p>
    <w:p w14:paraId="23A24C61">
      <w:pPr>
        <w:pStyle w:val="14"/>
        <w:framePr w:h="7226" w:hRule="exact" w:wrap="around" w:vAnchor="page" w:hAnchor="page" w:x="1962" w:y="2027"/>
        <w:tabs>
          <w:tab w:val="right" w:leader="dot" w:pos="8400"/>
        </w:tabs>
        <w:spacing w:line="600" w:lineRule="auto"/>
        <w:rPr>
          <w:sz w:val="32"/>
          <w:szCs w:val="32"/>
        </w:rPr>
      </w:pPr>
      <w:r>
        <w:rPr>
          <w:rFonts w:hint="eastAsia" w:ascii="宋体" w:hAnsi="宋体" w:eastAsia="宋体" w:cs="宋体"/>
          <w:bCs/>
          <w:color w:val="auto"/>
          <w:sz w:val="32"/>
          <w:szCs w:val="52"/>
          <w:highlight w:val="none"/>
        </w:rPr>
        <w:fldChar w:fldCharType="begin"/>
      </w:r>
      <w:r>
        <w:rPr>
          <w:rFonts w:hint="eastAsia" w:ascii="宋体" w:hAnsi="宋体" w:eastAsia="宋体" w:cs="宋体"/>
          <w:bCs/>
          <w:sz w:val="32"/>
          <w:szCs w:val="52"/>
          <w:highlight w:val="none"/>
        </w:rPr>
        <w:instrText xml:space="preserve"> HYPERLINK \l _Toc10231 </w:instrText>
      </w:r>
      <w:r>
        <w:rPr>
          <w:rFonts w:hint="eastAsia" w:ascii="宋体" w:hAnsi="宋体" w:eastAsia="宋体" w:cs="宋体"/>
          <w:bCs/>
          <w:sz w:val="32"/>
          <w:szCs w:val="52"/>
          <w:highlight w:val="none"/>
        </w:rPr>
        <w:fldChar w:fldCharType="separate"/>
      </w:r>
      <w:r>
        <w:rPr>
          <w:rFonts w:hint="eastAsia" w:ascii="宋体" w:hAnsi="宋体" w:eastAsia="宋体" w:cs="宋体"/>
          <w:bCs/>
          <w:sz w:val="32"/>
          <w:szCs w:val="40"/>
          <w:highlight w:val="none"/>
          <w:lang w:val="en-US" w:eastAsia="zh-CN"/>
        </w:rPr>
        <w:t>第四部分  评选办法</w:t>
      </w:r>
      <w:r>
        <w:rPr>
          <w:sz w:val="32"/>
          <w:szCs w:val="32"/>
        </w:rPr>
        <w:tab/>
      </w:r>
      <w:r>
        <w:rPr>
          <w:sz w:val="32"/>
          <w:szCs w:val="32"/>
        </w:rPr>
        <w:fldChar w:fldCharType="begin"/>
      </w:r>
      <w:r>
        <w:rPr>
          <w:sz w:val="32"/>
          <w:szCs w:val="32"/>
        </w:rPr>
        <w:instrText xml:space="preserve"> PAGEREF _Toc10231 \h </w:instrText>
      </w:r>
      <w:r>
        <w:rPr>
          <w:sz w:val="32"/>
          <w:szCs w:val="32"/>
        </w:rPr>
        <w:fldChar w:fldCharType="separate"/>
      </w:r>
      <w:r>
        <w:rPr>
          <w:sz w:val="32"/>
          <w:szCs w:val="32"/>
        </w:rPr>
        <w:t>13</w:t>
      </w:r>
      <w:r>
        <w:rPr>
          <w:sz w:val="32"/>
          <w:szCs w:val="32"/>
        </w:rPr>
        <w:fldChar w:fldCharType="end"/>
      </w:r>
      <w:r>
        <w:rPr>
          <w:rFonts w:hint="eastAsia" w:ascii="宋体" w:hAnsi="宋体" w:eastAsia="宋体" w:cs="宋体"/>
          <w:bCs/>
          <w:color w:val="auto"/>
          <w:sz w:val="32"/>
          <w:szCs w:val="52"/>
          <w:highlight w:val="none"/>
        </w:rPr>
        <w:fldChar w:fldCharType="end"/>
      </w:r>
    </w:p>
    <w:p w14:paraId="1167594D">
      <w:pPr>
        <w:pStyle w:val="14"/>
        <w:framePr w:h="7226" w:hRule="exact" w:wrap="around" w:vAnchor="page" w:hAnchor="page" w:x="1962" w:y="2027"/>
        <w:tabs>
          <w:tab w:val="right" w:leader="dot" w:pos="8400"/>
        </w:tabs>
        <w:spacing w:line="600" w:lineRule="auto"/>
        <w:rPr>
          <w:sz w:val="32"/>
          <w:szCs w:val="32"/>
        </w:rPr>
      </w:pPr>
      <w:r>
        <w:rPr>
          <w:rFonts w:hint="eastAsia" w:ascii="宋体" w:hAnsi="宋体" w:eastAsia="宋体" w:cs="宋体"/>
          <w:bCs/>
          <w:color w:val="auto"/>
          <w:sz w:val="32"/>
          <w:szCs w:val="52"/>
          <w:highlight w:val="none"/>
        </w:rPr>
        <w:fldChar w:fldCharType="begin"/>
      </w:r>
      <w:r>
        <w:rPr>
          <w:rFonts w:hint="eastAsia" w:ascii="宋体" w:hAnsi="宋体" w:eastAsia="宋体" w:cs="宋体"/>
          <w:bCs/>
          <w:sz w:val="32"/>
          <w:szCs w:val="52"/>
          <w:highlight w:val="none"/>
        </w:rPr>
        <w:instrText xml:space="preserve"> HYPERLINK \l _Toc1675 </w:instrText>
      </w:r>
      <w:r>
        <w:rPr>
          <w:rFonts w:hint="eastAsia" w:ascii="宋体" w:hAnsi="宋体" w:eastAsia="宋体" w:cs="宋体"/>
          <w:bCs/>
          <w:sz w:val="32"/>
          <w:szCs w:val="52"/>
          <w:highlight w:val="none"/>
        </w:rPr>
        <w:fldChar w:fldCharType="separate"/>
      </w:r>
      <w:r>
        <w:rPr>
          <w:rFonts w:hint="eastAsia" w:ascii="宋体" w:hAnsi="宋体" w:eastAsia="宋体" w:cs="宋体"/>
          <w:bCs/>
          <w:sz w:val="32"/>
          <w:szCs w:val="40"/>
          <w:highlight w:val="none"/>
          <w:lang w:val="en-US" w:eastAsia="zh-CN"/>
        </w:rPr>
        <w:t>第五部分  合同主要条款</w:t>
      </w:r>
      <w:r>
        <w:rPr>
          <w:sz w:val="32"/>
          <w:szCs w:val="32"/>
        </w:rPr>
        <w:tab/>
      </w:r>
      <w:r>
        <w:rPr>
          <w:sz w:val="32"/>
          <w:szCs w:val="32"/>
        </w:rPr>
        <w:fldChar w:fldCharType="begin"/>
      </w:r>
      <w:r>
        <w:rPr>
          <w:sz w:val="32"/>
          <w:szCs w:val="32"/>
        </w:rPr>
        <w:instrText xml:space="preserve"> PAGEREF _Toc1675 \h </w:instrText>
      </w:r>
      <w:r>
        <w:rPr>
          <w:sz w:val="32"/>
          <w:szCs w:val="32"/>
        </w:rPr>
        <w:fldChar w:fldCharType="separate"/>
      </w:r>
      <w:r>
        <w:rPr>
          <w:sz w:val="32"/>
          <w:szCs w:val="32"/>
        </w:rPr>
        <w:t>14</w:t>
      </w:r>
      <w:r>
        <w:rPr>
          <w:sz w:val="32"/>
          <w:szCs w:val="32"/>
        </w:rPr>
        <w:fldChar w:fldCharType="end"/>
      </w:r>
      <w:r>
        <w:rPr>
          <w:rFonts w:hint="eastAsia" w:ascii="宋体" w:hAnsi="宋体" w:eastAsia="宋体" w:cs="宋体"/>
          <w:bCs/>
          <w:color w:val="auto"/>
          <w:sz w:val="32"/>
          <w:szCs w:val="52"/>
          <w:highlight w:val="none"/>
        </w:rPr>
        <w:fldChar w:fldCharType="end"/>
      </w:r>
    </w:p>
    <w:p w14:paraId="486EFA60">
      <w:pPr>
        <w:pStyle w:val="14"/>
        <w:framePr w:h="7226" w:hRule="exact" w:wrap="around" w:vAnchor="page" w:hAnchor="page" w:x="1962" w:y="2027"/>
        <w:tabs>
          <w:tab w:val="right" w:leader="dot" w:pos="8400"/>
        </w:tabs>
        <w:spacing w:line="600" w:lineRule="auto"/>
        <w:rPr>
          <w:sz w:val="32"/>
          <w:szCs w:val="32"/>
        </w:rPr>
      </w:pPr>
      <w:r>
        <w:rPr>
          <w:rFonts w:hint="eastAsia" w:ascii="宋体" w:hAnsi="宋体" w:eastAsia="宋体" w:cs="宋体"/>
          <w:bCs/>
          <w:color w:val="auto"/>
          <w:sz w:val="32"/>
          <w:szCs w:val="52"/>
          <w:highlight w:val="none"/>
        </w:rPr>
        <w:fldChar w:fldCharType="begin"/>
      </w:r>
      <w:r>
        <w:rPr>
          <w:rFonts w:hint="eastAsia" w:ascii="宋体" w:hAnsi="宋体" w:eastAsia="宋体" w:cs="宋体"/>
          <w:bCs/>
          <w:sz w:val="32"/>
          <w:szCs w:val="52"/>
          <w:highlight w:val="none"/>
        </w:rPr>
        <w:instrText xml:space="preserve"> HYPERLINK \l _Toc1013 </w:instrText>
      </w:r>
      <w:r>
        <w:rPr>
          <w:rFonts w:hint="eastAsia" w:ascii="宋体" w:hAnsi="宋体" w:eastAsia="宋体" w:cs="宋体"/>
          <w:bCs/>
          <w:sz w:val="32"/>
          <w:szCs w:val="52"/>
          <w:highlight w:val="none"/>
        </w:rPr>
        <w:fldChar w:fldCharType="separate"/>
      </w:r>
      <w:r>
        <w:rPr>
          <w:rFonts w:hint="eastAsia" w:ascii="宋体" w:hAnsi="宋体" w:eastAsia="宋体" w:cs="宋体"/>
          <w:bCs/>
          <w:sz w:val="32"/>
          <w:szCs w:val="40"/>
          <w:highlight w:val="none"/>
          <w:lang w:val="en-US" w:eastAsia="zh-CN"/>
        </w:rPr>
        <w:t>第六部分  响应文件格式</w:t>
      </w:r>
      <w:r>
        <w:rPr>
          <w:sz w:val="32"/>
          <w:szCs w:val="32"/>
        </w:rPr>
        <w:tab/>
      </w:r>
      <w:r>
        <w:rPr>
          <w:sz w:val="32"/>
          <w:szCs w:val="32"/>
        </w:rPr>
        <w:fldChar w:fldCharType="begin"/>
      </w:r>
      <w:r>
        <w:rPr>
          <w:sz w:val="32"/>
          <w:szCs w:val="32"/>
        </w:rPr>
        <w:instrText xml:space="preserve"> PAGEREF _Toc1013 \h </w:instrText>
      </w:r>
      <w:r>
        <w:rPr>
          <w:sz w:val="32"/>
          <w:szCs w:val="32"/>
        </w:rPr>
        <w:fldChar w:fldCharType="separate"/>
      </w:r>
      <w:r>
        <w:rPr>
          <w:sz w:val="32"/>
          <w:szCs w:val="32"/>
        </w:rPr>
        <w:t>20</w:t>
      </w:r>
      <w:r>
        <w:rPr>
          <w:sz w:val="32"/>
          <w:szCs w:val="32"/>
        </w:rPr>
        <w:fldChar w:fldCharType="end"/>
      </w:r>
      <w:r>
        <w:rPr>
          <w:rFonts w:hint="eastAsia" w:ascii="宋体" w:hAnsi="宋体" w:eastAsia="宋体" w:cs="宋体"/>
          <w:bCs/>
          <w:color w:val="auto"/>
          <w:sz w:val="32"/>
          <w:szCs w:val="52"/>
          <w:highlight w:val="none"/>
        </w:rPr>
        <w:fldChar w:fldCharType="end"/>
      </w:r>
    </w:p>
    <w:p w14:paraId="59A85085">
      <w:pPr>
        <w:keepNext w:val="0"/>
        <w:keepLines w:val="0"/>
        <w:pageBreakBefore w:val="0"/>
        <w:framePr w:h="7226" w:hRule="exact" w:wrap="around" w:vAnchor="page" w:hAnchor="page" w:x="1962" w:y="2027"/>
        <w:widowControl/>
        <w:kinsoku/>
        <w:wordWrap/>
        <w:overflowPunct/>
        <w:topLinePunct w:val="0"/>
        <w:autoSpaceDE/>
        <w:autoSpaceDN/>
        <w:bidi w:val="0"/>
        <w:adjustRightInd/>
        <w:snapToGrid/>
        <w:spacing w:line="600" w:lineRule="auto"/>
        <w:textAlignment w:val="auto"/>
        <w:rPr>
          <w:rFonts w:hint="eastAsia" w:ascii="宋体" w:hAnsi="宋体" w:eastAsia="宋体" w:cs="宋体"/>
          <w:b/>
          <w:bCs/>
          <w:color w:val="auto"/>
          <w:sz w:val="52"/>
          <w:szCs w:val="52"/>
          <w:highlight w:val="none"/>
        </w:rPr>
      </w:pPr>
      <w:r>
        <w:rPr>
          <w:rFonts w:hint="eastAsia" w:ascii="宋体" w:hAnsi="宋体" w:eastAsia="宋体" w:cs="宋体"/>
          <w:bCs/>
          <w:color w:val="auto"/>
          <w:sz w:val="32"/>
          <w:szCs w:val="52"/>
          <w:highlight w:val="none"/>
        </w:rPr>
        <w:fldChar w:fldCharType="end"/>
      </w:r>
    </w:p>
    <w:p w14:paraId="550C9C6A">
      <w:pPr>
        <w:pStyle w:val="14"/>
        <w:keepNext w:val="0"/>
        <w:keepLines w:val="0"/>
        <w:pageBreakBefore w:val="0"/>
        <w:framePr w:wrap="auto" w:vAnchor="margin" w:hAnchor="text" w:yAlign="inline"/>
        <w:widowControl/>
        <w:tabs>
          <w:tab w:val="right" w:leader="dot" w:pos="81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 </w:t>
      </w:r>
    </w:p>
    <w:p w14:paraId="593E6214">
      <w:pPr>
        <w:pStyle w:val="31"/>
        <w:framePr w:wrap="auto" w:vAnchor="margin" w:hAnchor="text" w:yAlign="inline"/>
        <w:wordWrap w:val="0"/>
        <w:spacing w:line="440" w:lineRule="exact"/>
        <w:jc w:val="both"/>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bCs/>
          <w:color w:val="auto"/>
          <w:sz w:val="32"/>
          <w:szCs w:val="32"/>
          <w:highlight w:val="none"/>
        </w:rPr>
        <w:br w:type="page"/>
      </w:r>
    </w:p>
    <w:p w14:paraId="0F32ED90">
      <w:pPr>
        <w:keepNext w:val="0"/>
        <w:keepLines/>
        <w:pageBreakBefore w:val="0"/>
        <w:framePr w:wrap="auto" w:vAnchor="margin" w:hAnchor="text" w:yAlign="inline"/>
        <w:widowControl/>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zh-TW" w:eastAsia="zh-TW"/>
        </w:rPr>
      </w:pPr>
      <w:bookmarkStart w:id="0" w:name="_Toc32465"/>
      <w:bookmarkStart w:id="1" w:name="_Toc19783"/>
      <w:r>
        <w:rPr>
          <w:rFonts w:hint="eastAsia" w:ascii="宋体" w:hAnsi="宋体" w:eastAsia="宋体" w:cs="宋体"/>
          <w:b/>
          <w:bCs/>
          <w:color w:val="auto"/>
          <w:sz w:val="32"/>
          <w:szCs w:val="32"/>
          <w:highlight w:val="none"/>
          <w:lang w:val="en-US" w:eastAsia="zh-CN"/>
        </w:rPr>
        <w:t>第一部分</w:t>
      </w:r>
      <w:r>
        <w:rPr>
          <w:rFonts w:hint="eastAsia" w:ascii="宋体" w:hAnsi="宋体" w:eastAsia="宋体" w:cs="宋体"/>
          <w:b/>
          <w:bCs/>
          <w:color w:val="auto"/>
          <w:sz w:val="32"/>
          <w:szCs w:val="32"/>
          <w:highlight w:val="none"/>
          <w:lang w:val="zh-TW" w:eastAsia="zh-TW"/>
        </w:rPr>
        <w:t xml:space="preserve">  </w:t>
      </w:r>
      <w:r>
        <w:rPr>
          <w:rFonts w:hint="eastAsia" w:ascii="宋体" w:hAnsi="宋体" w:eastAsia="宋体" w:cs="宋体"/>
          <w:b/>
          <w:bCs/>
          <w:color w:val="auto"/>
          <w:sz w:val="32"/>
          <w:szCs w:val="32"/>
          <w:highlight w:val="none"/>
          <w:lang w:val="en-US" w:eastAsia="zh-CN"/>
        </w:rPr>
        <w:t>竞价</w:t>
      </w:r>
      <w:r>
        <w:rPr>
          <w:rFonts w:hint="eastAsia" w:ascii="宋体" w:hAnsi="宋体" w:eastAsia="宋体" w:cs="宋体"/>
          <w:b/>
          <w:bCs/>
          <w:color w:val="auto"/>
          <w:sz w:val="32"/>
          <w:szCs w:val="32"/>
          <w:highlight w:val="none"/>
          <w:lang w:val="zh-TW" w:eastAsia="zh-TW"/>
        </w:rPr>
        <w:t>公告</w:t>
      </w:r>
      <w:bookmarkEnd w:id="0"/>
      <w:bookmarkEnd w:id="1"/>
    </w:p>
    <w:p w14:paraId="13AEA6A6">
      <w:pPr>
        <w:keepNext w:val="0"/>
        <w:keepLines w:val="0"/>
        <w:pageBreakBefore w:val="0"/>
        <w:framePr w:wrap="auto" w:vAnchor="margin" w:hAnchor="text" w:yAlign="inline"/>
        <w:widowControl w:val="0"/>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b/>
          <w:bCs/>
          <w:color w:val="auto"/>
          <w:sz w:val="28"/>
          <w:szCs w:val="28"/>
          <w:highlight w:val="none"/>
        </w:rPr>
      </w:pPr>
      <w:bookmarkStart w:id="2" w:name="_Toc31806"/>
      <w:bookmarkStart w:id="3" w:name="_Toc229646710"/>
      <w:bookmarkStart w:id="4" w:name="_Toc16761"/>
      <w:bookmarkStart w:id="5" w:name="_Toc16780"/>
      <w:bookmarkStart w:id="6" w:name="_Toc21380"/>
      <w:bookmarkStart w:id="7" w:name="_Toc152042304"/>
      <w:bookmarkStart w:id="8" w:name="_Toc7164"/>
      <w:bookmarkStart w:id="9" w:name="_Toc392345907"/>
      <w:bookmarkStart w:id="10" w:name="_Toc500491903"/>
      <w:bookmarkStart w:id="11" w:name="_Toc144974496"/>
      <w:bookmarkStart w:id="12" w:name="_Toc152045528"/>
      <w:r>
        <w:rPr>
          <w:rFonts w:hint="eastAsia" w:ascii="宋体" w:hAnsi="宋体" w:eastAsia="宋体" w:cs="宋体"/>
          <w:color w:val="auto"/>
          <w:sz w:val="28"/>
          <w:szCs w:val="28"/>
          <w:highlight w:val="none"/>
          <w:u w:val="none" w:color="auto"/>
          <w:lang w:val="en-US" w:eastAsia="zh-CN"/>
        </w:rPr>
        <w:t>惠州志宏工程监理咨询有限公司（以下简称“采购代理机构”）受广东高丰建设工程有限公司（以下简称“采购人</w:t>
      </w:r>
      <w:r>
        <w:rPr>
          <w:rFonts w:hint="default" w:ascii="宋体" w:hAnsi="宋体" w:eastAsia="宋体" w:cs="宋体"/>
          <w:color w:val="auto"/>
          <w:sz w:val="28"/>
          <w:szCs w:val="28"/>
          <w:highlight w:val="none"/>
          <w:u w:val="none" w:color="auto"/>
          <w:lang w:val="en-US" w:eastAsia="zh-CN"/>
        </w:rPr>
        <w:t>”</w:t>
      </w:r>
      <w:r>
        <w:rPr>
          <w:rFonts w:hint="eastAsia" w:ascii="宋体" w:hAnsi="宋体" w:eastAsia="宋体" w:cs="宋体"/>
          <w:color w:val="auto"/>
          <w:sz w:val="28"/>
          <w:szCs w:val="28"/>
          <w:highlight w:val="none"/>
          <w:u w:val="none" w:color="auto"/>
          <w:lang w:val="en-US" w:eastAsia="zh-CN"/>
        </w:rPr>
        <w:t>）的委托，诚邀国内合格参选人就广东省惠州市惠东县稔山镇蟹洲海堤水闸重建工程（编号04号）阻锈剂防腐剂材料采购</w:t>
      </w:r>
      <w:r>
        <w:rPr>
          <w:rFonts w:hint="eastAsia" w:ascii="宋体" w:hAnsi="宋体" w:eastAsia="宋体" w:cs="宋体"/>
          <w:b w:val="0"/>
          <w:bCs w:val="0"/>
          <w:i w:val="0"/>
          <w:iCs w:val="0"/>
          <w:caps w:val="0"/>
          <w:color w:val="auto"/>
          <w:spacing w:val="0"/>
          <w:kern w:val="0"/>
          <w:sz w:val="28"/>
          <w:szCs w:val="28"/>
          <w:highlight w:val="none"/>
          <w:u w:val="none" w:color="auto"/>
          <w:shd w:val="clear" w:fill="FFFFFF"/>
          <w:lang w:val="en-US" w:eastAsia="zh-CN" w:bidi="ar"/>
        </w:rPr>
        <w:t>(以下称</w:t>
      </w: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“项目”或“本项目”)（项目编号：ZHGC2024029-04）提交竞价申请文件：</w:t>
      </w:r>
    </w:p>
    <w:p w14:paraId="63361F16">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方式：</w:t>
      </w:r>
      <w:r>
        <w:rPr>
          <w:rFonts w:hint="eastAsia" w:ascii="宋体" w:hAnsi="宋体" w:eastAsia="宋体" w:cs="宋体"/>
          <w:color w:val="auto"/>
          <w:sz w:val="28"/>
          <w:szCs w:val="28"/>
          <w:highlight w:val="none"/>
        </w:rPr>
        <w:t>公开</w:t>
      </w: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竞价</w:t>
      </w:r>
    </w:p>
    <w:p w14:paraId="5AEDDFF2">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二、项目概况与</w:t>
      </w:r>
      <w:r>
        <w:rPr>
          <w:rFonts w:hint="eastAsia" w:ascii="宋体" w:hAnsi="宋体" w:eastAsia="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内容</w:t>
      </w:r>
    </w:p>
    <w:p w14:paraId="06255689">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2"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bCs/>
          <w:color w:val="auto"/>
          <w:sz w:val="28"/>
          <w:szCs w:val="28"/>
          <w:highlight w:val="none"/>
        </w:rPr>
        <w:t>1、项目概况：</w:t>
      </w:r>
    </w:p>
    <w:p w14:paraId="2F7F58CE">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工程建设地点位于惠州市惠东县稔山镇，1孔左岸排水闸，7孔拦河水闸，左、右岸岸墙以及其他配套附属设施。</w:t>
      </w:r>
    </w:p>
    <w:p w14:paraId="6D29DF7A">
      <w:pPr>
        <w:pStyle w:val="16"/>
        <w:keepNext w:val="0"/>
        <w:keepLines w:val="0"/>
        <w:pageBreakBefore w:val="0"/>
        <w:framePr w:wrap="auto" w:vAnchor="margin" w:hAnchor="text" w:yAlign="inline"/>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2" w:firstLineChars="200"/>
        <w:jc w:val="left"/>
        <w:textAlignment w:val="auto"/>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内容：</w:t>
      </w:r>
    </w:p>
    <w:p w14:paraId="28567041">
      <w:pPr>
        <w:pStyle w:val="16"/>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rightChars="0"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承包人现场施工所需的阻锈剂防腐剂材料采购</w:t>
      </w:r>
    </w:p>
    <w:p w14:paraId="69D08C01">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2"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Style w:val="22"/>
          <w:rFonts w:hint="eastAsia" w:ascii="宋体" w:hAnsi="宋体" w:eastAsia="宋体" w:cs="宋体"/>
          <w:i w:val="0"/>
          <w:iCs w:val="0"/>
          <w:caps w:val="0"/>
          <w:color w:val="auto"/>
          <w:spacing w:val="0"/>
          <w:sz w:val="28"/>
          <w:szCs w:val="28"/>
          <w:highlight w:val="none"/>
          <w:u w:val="none"/>
          <w:shd w:val="clear" w:fill="FFFFFF"/>
        </w:rPr>
        <w:t>三、</w:t>
      </w:r>
      <w:r>
        <w:rPr>
          <w:rStyle w:val="22"/>
          <w:rFonts w:hint="eastAsia" w:ascii="宋体" w:hAnsi="宋体" w:eastAsia="宋体" w:cs="宋体"/>
          <w:i w:val="0"/>
          <w:iCs w:val="0"/>
          <w:caps w:val="0"/>
          <w:color w:val="auto"/>
          <w:spacing w:val="0"/>
          <w:sz w:val="28"/>
          <w:szCs w:val="28"/>
          <w:highlight w:val="none"/>
          <w:u w:val="none"/>
          <w:shd w:val="clear" w:fill="FFFFFF"/>
          <w:lang w:eastAsia="zh-CN"/>
        </w:rPr>
        <w:t>参选人</w:t>
      </w:r>
      <w:r>
        <w:rPr>
          <w:rStyle w:val="22"/>
          <w:rFonts w:hint="eastAsia" w:ascii="宋体" w:hAnsi="宋体" w:eastAsia="宋体" w:cs="宋体"/>
          <w:i w:val="0"/>
          <w:iCs w:val="0"/>
          <w:caps w:val="0"/>
          <w:color w:val="auto"/>
          <w:spacing w:val="0"/>
          <w:sz w:val="28"/>
          <w:szCs w:val="28"/>
          <w:highlight w:val="none"/>
          <w:u w:val="none"/>
          <w:shd w:val="clear" w:fill="FFFFFF"/>
        </w:rPr>
        <w:t>资格要求</w:t>
      </w:r>
    </w:p>
    <w:p w14:paraId="70992D12">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在中华人民共和国境内注册的法人或其他组织，</w:t>
      </w:r>
      <w:r>
        <w:rPr>
          <w:rFonts w:hint="eastAsia" w:ascii="宋体" w:hAnsi="宋体" w:eastAsia="宋体" w:cs="宋体"/>
          <w:color w:val="auto"/>
          <w:sz w:val="28"/>
          <w:szCs w:val="28"/>
          <w:highlight w:val="none"/>
          <w:lang w:val="en-US" w:eastAsia="zh-CN"/>
        </w:rPr>
        <w:t>参选</w:t>
      </w:r>
      <w:r>
        <w:rPr>
          <w:rFonts w:hint="eastAsia" w:ascii="宋体" w:hAnsi="宋体" w:eastAsia="宋体" w:cs="宋体"/>
          <w:color w:val="auto"/>
          <w:sz w:val="28"/>
          <w:szCs w:val="28"/>
          <w:highlight w:val="none"/>
          <w:lang w:eastAsia="zh-CN"/>
        </w:rPr>
        <w:t>时提交有效的营业执照（或事业法人登记证等相关证明）副本复印件。分支机构投标的，须提供总公司和分公司营业执照副本复印件，总公司出具给分支机构的授权书</w:t>
      </w:r>
      <w:r>
        <w:rPr>
          <w:rFonts w:hint="eastAsia" w:ascii="宋体" w:hAnsi="宋体" w:eastAsia="宋体" w:cs="宋体"/>
          <w:color w:val="auto"/>
          <w:sz w:val="28"/>
          <w:szCs w:val="28"/>
          <w:highlight w:val="none"/>
          <w:lang w:val="en-US" w:eastAsia="zh-CN"/>
        </w:rPr>
        <w:t>。</w:t>
      </w:r>
    </w:p>
    <w:p w14:paraId="48B13E59">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与采购人存在利害关系可能影响采购公正性的法人、其他组织或者个人，不得参加本项目响应；单位负责人为同一人或者存在控股（含法定代表人控股）、管理关系的不同单位，不得参加同一项目响应，否则均按否决响应处理。</w:t>
      </w:r>
    </w:p>
    <w:p w14:paraId="69B0D81D">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left"/>
        <w:textAlignment w:val="auto"/>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pP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3、</w:t>
      </w: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参选人</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未被列入“信用中国”网站(</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fldChar w:fldCharType="begin"/>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instrText xml:space="preserve"> HYPERLINK "http://www.creditchina.gov.cn" </w:instrTex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fldChar w:fldCharType="separate"/>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www.creditchina.gov.cn</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fldChar w:fldCharType="end"/>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采购人、采购代理机构于投标截止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参选人为分公司的，同时对该分公司所属总公司（总所）进行信用记录查询，该分公司所属总公司（总所）存在不良信用记录的，视同供应商存在不良信用记录。）</w:t>
      </w:r>
    </w:p>
    <w:p w14:paraId="2235567F">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本次采购不接受联合体响应。</w:t>
      </w:r>
    </w:p>
    <w:p w14:paraId="74033BC7">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w:t>
      </w:r>
      <w:r>
        <w:rPr>
          <w:rFonts w:hint="eastAsia" w:ascii="宋体" w:hAnsi="宋体" w:eastAsia="宋体" w:cs="宋体"/>
          <w:b/>
          <w:bCs/>
          <w:i w:val="0"/>
          <w:iCs w:val="0"/>
          <w:caps w:val="0"/>
          <w:color w:val="auto"/>
          <w:spacing w:val="0"/>
          <w:kern w:val="0"/>
          <w:sz w:val="28"/>
          <w:szCs w:val="28"/>
          <w:highlight w:val="none"/>
          <w:u w:val="none"/>
          <w:shd w:val="clear" w:fill="FFFFFF"/>
          <w:lang w:val="en-US" w:eastAsia="zh-CN" w:bidi="ar"/>
        </w:rPr>
        <w:t>竞价文件</w:t>
      </w:r>
      <w:r>
        <w:rPr>
          <w:rFonts w:hint="eastAsia" w:ascii="宋体" w:hAnsi="宋体" w:eastAsia="宋体" w:cs="宋体"/>
          <w:b/>
          <w:bCs/>
          <w:color w:val="auto"/>
          <w:sz w:val="28"/>
          <w:szCs w:val="28"/>
          <w:highlight w:val="none"/>
        </w:rPr>
        <w:t>的获取</w:t>
      </w:r>
    </w:p>
    <w:p w14:paraId="045988C5">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w:t>
      </w:r>
      <w:r>
        <w:rPr>
          <w:rFonts w:hint="eastAsia" w:ascii="宋体" w:hAnsi="宋体" w:eastAsia="宋体" w:cs="宋体"/>
          <w:color w:val="auto"/>
          <w:sz w:val="28"/>
          <w:szCs w:val="28"/>
          <w:highlight w:val="none"/>
          <w:lang w:eastAsia="zh-CN"/>
        </w:rPr>
        <w:t>竞价文件</w:t>
      </w:r>
      <w:r>
        <w:rPr>
          <w:rFonts w:hint="eastAsia" w:ascii="宋体" w:hAnsi="宋体" w:eastAsia="宋体" w:cs="宋体"/>
          <w:color w:val="auto"/>
          <w:sz w:val="28"/>
          <w:szCs w:val="28"/>
          <w:highlight w:val="none"/>
        </w:rPr>
        <w:t>、补遗书（补充、澄清、修改文件）以网上下载方式发放。如需图纸请自行联系本项目联系人获取。</w:t>
      </w:r>
    </w:p>
    <w:p w14:paraId="30896EA9">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2、澄清、补充、修改等更正补充公告请自行登录</w:t>
      </w:r>
      <w:r>
        <w:rPr>
          <w:rFonts w:hint="eastAsia" w:ascii="宋体" w:hAnsi="宋体" w:eastAsia="宋体" w:cs="宋体"/>
          <w:color w:val="auto"/>
          <w:sz w:val="28"/>
          <w:szCs w:val="28"/>
          <w:highlight w:val="none"/>
          <w:lang w:val="en-US" w:eastAsia="zh-CN"/>
        </w:rPr>
        <w:t>广东高丰建设工程有限公司官网（http://www.gdtianfeng.com/）</w:t>
      </w:r>
      <w:r>
        <w:rPr>
          <w:rFonts w:hint="eastAsia" w:ascii="宋体" w:hAnsi="宋体" w:eastAsia="宋体" w:cs="宋体"/>
          <w:color w:val="auto"/>
          <w:sz w:val="28"/>
          <w:szCs w:val="28"/>
          <w:highlight w:val="none"/>
        </w:rPr>
        <w:t>进行下载，</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人不再另行通知。</w:t>
      </w:r>
    </w:p>
    <w:p w14:paraId="3903C330">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五、响应文件的递交</w:t>
      </w:r>
    </w:p>
    <w:p w14:paraId="7683C924">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人不统一组织工程现场踏勘和响应预备会,响应人视需要自行前往现场踏勘。</w:t>
      </w:r>
    </w:p>
    <w:p w14:paraId="0B129346">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2、响应文</w:t>
      </w:r>
      <w:r>
        <w:rPr>
          <w:rFonts w:hint="eastAsia" w:ascii="宋体" w:hAnsi="宋体" w:eastAsia="宋体" w:cs="宋体"/>
          <w:color w:val="auto"/>
          <w:sz w:val="28"/>
          <w:szCs w:val="28"/>
          <w:highlight w:val="none"/>
          <w:u w:val="single" w:color="auto"/>
        </w:rPr>
        <w:t>件递交的截止时间</w:t>
      </w:r>
      <w:r>
        <w:rPr>
          <w:rFonts w:hint="eastAsia" w:ascii="宋体" w:hAnsi="宋体" w:eastAsia="宋体" w:cs="宋体"/>
          <w:color w:val="auto"/>
          <w:sz w:val="28"/>
          <w:szCs w:val="28"/>
          <w:highlight w:val="none"/>
          <w:u w:val="single" w:color="auto"/>
          <w:lang w:eastAsia="zh-CN"/>
        </w:rPr>
        <w:t>：2025年11月12日12:00。</w:t>
      </w:r>
    </w:p>
    <w:p w14:paraId="5A590A92">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3、响应文件递交方式：纸质响应文件采用现场递交或邮寄方式，递交（邮寄</w:t>
      </w:r>
      <w:r>
        <w:rPr>
          <w:rFonts w:hint="eastAsia" w:ascii="宋体" w:hAnsi="宋体" w:eastAsia="宋体" w:cs="宋体"/>
          <w:color w:val="auto"/>
          <w:sz w:val="28"/>
          <w:szCs w:val="28"/>
          <w:highlight w:val="none"/>
          <w:u w:val="none" w:color="auto"/>
        </w:rPr>
        <w:t>）地址：</w:t>
      </w:r>
      <w:r>
        <w:rPr>
          <w:rFonts w:hint="eastAsia" w:ascii="宋体" w:hAnsi="宋体" w:eastAsia="宋体" w:cs="宋体"/>
          <w:b w:val="0"/>
          <w:bCs w:val="0"/>
          <w:i w:val="0"/>
          <w:iCs w:val="0"/>
          <w:caps w:val="0"/>
          <w:color w:val="auto"/>
          <w:spacing w:val="0"/>
          <w:sz w:val="28"/>
          <w:szCs w:val="28"/>
          <w:highlight w:val="none"/>
          <w:u w:val="single"/>
          <w:shd w:val="clear" w:fill="FFFFFF"/>
          <w:lang w:val="en-US" w:eastAsia="zh-CN"/>
        </w:rPr>
        <w:t>惠州市惠东县惠东大道1212号公路事务养护中心4楼高丰公司</w:t>
      </w:r>
      <w:r>
        <w:rPr>
          <w:rFonts w:hint="eastAsia" w:ascii="宋体" w:hAnsi="宋体" w:eastAsia="宋体" w:cs="宋体"/>
          <w:color w:val="auto"/>
          <w:sz w:val="28"/>
          <w:szCs w:val="28"/>
          <w:highlight w:val="none"/>
        </w:rPr>
        <w:t>。</w:t>
      </w:r>
    </w:p>
    <w:p w14:paraId="24CC2202">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4、逾期送达或未密封将予以拒收。</w:t>
      </w:r>
    </w:p>
    <w:p w14:paraId="2160FD6B">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六、发布公告的媒介</w:t>
      </w:r>
    </w:p>
    <w:p w14:paraId="0D50647C">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w:t>
      </w: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采购公告</w:t>
      </w: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lang w:val="en-US" w:eastAsia="zh-CN"/>
        </w:rPr>
        <w:t>广东高丰建设工程有限公司官网（http://www.gdtianfeng.com/）</w:t>
      </w:r>
      <w:r>
        <w:rPr>
          <w:rFonts w:hint="eastAsia" w:ascii="宋体" w:hAnsi="宋体" w:eastAsia="宋体" w:cs="宋体"/>
          <w:color w:val="auto"/>
          <w:sz w:val="28"/>
          <w:szCs w:val="28"/>
          <w:highlight w:val="none"/>
        </w:rPr>
        <w:t>上发布。</w:t>
      </w:r>
    </w:p>
    <w:p w14:paraId="623DD060">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2" w:firstLineChars="200"/>
        <w:jc w:val="left"/>
        <w:textAlignment w:val="auto"/>
        <w:rPr>
          <w:rFonts w:hint="eastAsia" w:ascii="宋体" w:hAnsi="宋体" w:eastAsia="宋体" w:cs="宋体"/>
          <w:b/>
          <w:bCs/>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u w:val="none"/>
          <w:shd w:val="clear" w:fill="FFFFFF"/>
          <w:lang w:val="en-US" w:eastAsia="zh-CN" w:bidi="ar"/>
        </w:rPr>
        <w:t>七、联系方式：</w:t>
      </w:r>
    </w:p>
    <w:p w14:paraId="59AAA626">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1.采购人信息</w:t>
      </w:r>
    </w:p>
    <w:p w14:paraId="101E8842">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名称：广东高丰建设工程有限公司</w:t>
      </w:r>
    </w:p>
    <w:p w14:paraId="10A30D8B">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地址：</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惠州市惠东县惠东大道1212号公路事务养护中心4楼高丰公司</w:t>
      </w:r>
    </w:p>
    <w:p w14:paraId="46541B52">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联系方式：</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0752-8906002</w:t>
      </w:r>
    </w:p>
    <w:p w14:paraId="6A3BB6AA">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2.采购代理机构信息</w:t>
      </w:r>
    </w:p>
    <w:p w14:paraId="1136A71C">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名称：惠州志宏工程监理咨询有限公司</w:t>
      </w:r>
    </w:p>
    <w:p w14:paraId="2336CE2A">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地址：</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广东省惠州市惠城区江北文明一路三号中信城市时代1单元17层01号</w:t>
      </w:r>
    </w:p>
    <w:p w14:paraId="1B9EDF10">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联系方式：</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0752-2808860</w:t>
      </w:r>
    </w:p>
    <w:p w14:paraId="1CCED735">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560" w:firstLineChars="200"/>
        <w:jc w:val="left"/>
        <w:textAlignment w:val="auto"/>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pPr>
    </w:p>
    <w:p w14:paraId="2B46061C">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leftChars="0" w:right="-106" w:rightChars="-44" w:firstLine="238" w:firstLineChars="85"/>
        <w:jc w:val="left"/>
        <w:textAlignment w:val="auto"/>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pPr>
    </w:p>
    <w:p w14:paraId="0C65A051">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righ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采购人：广东高丰建设工程有限公司</w:t>
      </w:r>
    </w:p>
    <w:p w14:paraId="248F7903">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righ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采购代理机构：惠州志宏工程监理咨询有限公司</w:t>
      </w:r>
    </w:p>
    <w:p w14:paraId="37CCBE6B">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right"/>
        <w:textAlignment w:val="auto"/>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公告发布时间：2025年11月7日</w:t>
      </w:r>
    </w:p>
    <w:p w14:paraId="687C0335">
      <w:pPr>
        <w:framePr w:wrap="auto" w:vAnchor="margin" w:hAnchor="text" w:yAlign="inline"/>
        <w:rPr>
          <w:rFonts w:hint="eastAsia" w:ascii="宋体" w:hAnsi="宋体" w:eastAsia="宋体" w:cs="宋体"/>
          <w:b/>
          <w:bCs/>
          <w:color w:val="auto"/>
          <w:sz w:val="32"/>
          <w:szCs w:val="32"/>
          <w:highlight w:val="none"/>
          <w:lang w:val="zh-TW" w:eastAsia="zh-TW"/>
        </w:rPr>
      </w:pPr>
    </w:p>
    <w:p w14:paraId="7FB6C5C3">
      <w:pPr>
        <w:framePr w:wrap="auto" w:vAnchor="margin" w:hAnchor="text" w:yAlign="inline"/>
        <w:rPr>
          <w:rFonts w:hint="eastAsia" w:ascii="宋体" w:hAnsi="宋体" w:eastAsia="宋体" w:cs="宋体"/>
          <w:b/>
          <w:bCs/>
          <w:color w:val="auto"/>
          <w:sz w:val="32"/>
          <w:szCs w:val="32"/>
          <w:highlight w:val="none"/>
          <w:lang w:val="zh-TW" w:eastAsia="zh-TW"/>
        </w:rPr>
      </w:pPr>
      <w:bookmarkStart w:id="13" w:name="_Toc29038"/>
      <w:r>
        <w:rPr>
          <w:rFonts w:hint="eastAsia" w:ascii="宋体" w:hAnsi="宋体" w:eastAsia="宋体" w:cs="宋体"/>
          <w:b/>
          <w:bCs/>
          <w:color w:val="auto"/>
          <w:sz w:val="32"/>
          <w:szCs w:val="32"/>
          <w:highlight w:val="none"/>
          <w:lang w:val="zh-TW" w:eastAsia="zh-TW"/>
        </w:rPr>
        <w:br w:type="page"/>
      </w:r>
    </w:p>
    <w:p w14:paraId="1FF202B8">
      <w:pPr>
        <w:keepNext w:val="0"/>
        <w:keepLines/>
        <w:pageBreakBefore w:val="0"/>
        <w:framePr w:wrap="auto" w:vAnchor="margin" w:hAnchor="text" w:yAlign="inline"/>
        <w:widowControl/>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28"/>
          <w:szCs w:val="28"/>
          <w:highlight w:val="none"/>
          <w:lang w:eastAsia="zh-CN"/>
        </w:rPr>
      </w:pPr>
      <w:bookmarkStart w:id="14" w:name="_Toc23739"/>
      <w:r>
        <w:rPr>
          <w:rFonts w:hint="eastAsia" w:ascii="宋体" w:hAnsi="宋体" w:eastAsia="宋体" w:cs="宋体"/>
          <w:b/>
          <w:bCs/>
          <w:color w:val="auto"/>
          <w:sz w:val="32"/>
          <w:szCs w:val="32"/>
          <w:highlight w:val="none"/>
          <w:lang w:val="zh-TW" w:eastAsia="zh-TW"/>
        </w:rPr>
        <w:t>第</w:t>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lang w:val="zh-TW" w:eastAsia="zh-TW"/>
        </w:rPr>
        <w:t xml:space="preserve">部分 </w:t>
      </w:r>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bCs/>
          <w:color w:val="auto"/>
          <w:sz w:val="32"/>
          <w:szCs w:val="32"/>
          <w:highlight w:val="none"/>
          <w:lang w:val="zh-TW" w:eastAsia="zh-TW"/>
        </w:rPr>
        <w:t xml:space="preserve"> </w:t>
      </w:r>
      <w:r>
        <w:rPr>
          <w:rFonts w:hint="eastAsia" w:ascii="宋体" w:hAnsi="宋体" w:eastAsia="宋体" w:cs="宋体"/>
          <w:b/>
          <w:bCs/>
          <w:color w:val="auto"/>
          <w:sz w:val="32"/>
          <w:szCs w:val="32"/>
          <w:highlight w:val="none"/>
          <w:lang w:eastAsia="zh-CN"/>
        </w:rPr>
        <w:t>参选人须知</w:t>
      </w:r>
      <w:bookmarkEnd w:id="13"/>
      <w:bookmarkEnd w:id="14"/>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33"/>
        <w:gridCol w:w="5932"/>
      </w:tblGrid>
      <w:tr w14:paraId="1D2B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3630068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1123" w:type="pct"/>
            <w:noWrap w:val="0"/>
            <w:vAlign w:val="center"/>
          </w:tcPr>
          <w:p w14:paraId="62532E62">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条款名称</w:t>
            </w:r>
          </w:p>
        </w:tc>
        <w:tc>
          <w:tcPr>
            <w:tcW w:w="3445" w:type="pct"/>
            <w:noWrap w:val="0"/>
            <w:vAlign w:val="center"/>
          </w:tcPr>
          <w:p w14:paraId="25461098">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编列内容</w:t>
            </w:r>
          </w:p>
        </w:tc>
      </w:tr>
      <w:tr w14:paraId="7185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257353C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123" w:type="pct"/>
            <w:noWrap w:val="0"/>
            <w:vAlign w:val="center"/>
          </w:tcPr>
          <w:p w14:paraId="5C95A5C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人</w:t>
            </w:r>
          </w:p>
        </w:tc>
        <w:tc>
          <w:tcPr>
            <w:tcW w:w="3445" w:type="pct"/>
            <w:noWrap w:val="0"/>
            <w:vAlign w:val="center"/>
          </w:tcPr>
          <w:p w14:paraId="292AA24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采购人：</w:t>
            </w:r>
            <w:r>
              <w:rPr>
                <w:rFonts w:hint="eastAsia" w:ascii="宋体" w:hAnsi="宋体" w:eastAsia="宋体" w:cs="宋体"/>
                <w:color w:val="auto"/>
                <w:sz w:val="28"/>
                <w:szCs w:val="28"/>
                <w:highlight w:val="none"/>
                <w:lang w:val="en-US" w:eastAsia="zh-CN"/>
              </w:rPr>
              <w:t>广东高丰建设工程有限公司</w:t>
            </w:r>
          </w:p>
          <w:p w14:paraId="6DB47199">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地址：</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惠州市惠东县惠东大道1212号公路事务养护中心4楼高丰公司</w:t>
            </w:r>
          </w:p>
          <w:p w14:paraId="1322942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电话：</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0752-8906003</w:t>
            </w:r>
          </w:p>
        </w:tc>
      </w:tr>
      <w:tr w14:paraId="67FF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0F60735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123" w:type="pct"/>
            <w:noWrap w:val="0"/>
            <w:vAlign w:val="center"/>
          </w:tcPr>
          <w:p w14:paraId="51E7A56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3445" w:type="pct"/>
            <w:noWrap w:val="0"/>
            <w:vAlign w:val="center"/>
          </w:tcPr>
          <w:p w14:paraId="324709BC">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b w:val="0"/>
                <w:bCs w:val="0"/>
                <w:i w:val="0"/>
                <w:iCs w:val="0"/>
                <w:caps w:val="0"/>
                <w:color w:val="auto"/>
                <w:spacing w:val="0"/>
                <w:kern w:val="0"/>
                <w:sz w:val="28"/>
                <w:szCs w:val="28"/>
                <w:highlight w:val="none"/>
                <w:u w:val="none"/>
                <w:shd w:val="clear" w:color="auto" w:fill="FFFFFF"/>
                <w:lang w:val="en-US" w:eastAsia="zh-CN" w:bidi="ar"/>
              </w:rPr>
              <w:t>广东省惠州市惠东县稔山镇蟹洲海堤水闸重建工程（编号04号）阻锈剂防腐剂材料采购</w:t>
            </w:r>
          </w:p>
        </w:tc>
      </w:tr>
      <w:tr w14:paraId="3930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1703F2DC">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w:t>
            </w:r>
          </w:p>
        </w:tc>
        <w:tc>
          <w:tcPr>
            <w:tcW w:w="1123" w:type="pct"/>
            <w:noWrap w:val="0"/>
            <w:vAlign w:val="center"/>
          </w:tcPr>
          <w:p w14:paraId="4BA5E5A9">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内容</w:t>
            </w:r>
          </w:p>
        </w:tc>
        <w:tc>
          <w:tcPr>
            <w:tcW w:w="3445" w:type="pct"/>
            <w:noWrap w:val="0"/>
            <w:vAlign w:val="center"/>
          </w:tcPr>
          <w:p w14:paraId="5BC52958">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承包人现场施工所需的阻锈剂防腐剂材料采购</w:t>
            </w:r>
          </w:p>
        </w:tc>
      </w:tr>
      <w:tr w14:paraId="0788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7916163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w:t>
            </w:r>
          </w:p>
        </w:tc>
        <w:tc>
          <w:tcPr>
            <w:tcW w:w="1123" w:type="pct"/>
            <w:noWrap w:val="0"/>
            <w:vAlign w:val="center"/>
          </w:tcPr>
          <w:p w14:paraId="7F6125FE">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工</w:t>
            </w:r>
            <w:r>
              <w:rPr>
                <w:rFonts w:hint="eastAsia" w:ascii="宋体" w:hAnsi="宋体" w:eastAsia="宋体" w:cs="宋体"/>
                <w:color w:val="auto"/>
                <w:sz w:val="28"/>
                <w:szCs w:val="28"/>
                <w:highlight w:val="none"/>
              </w:rPr>
              <w:t>期</w:t>
            </w:r>
          </w:p>
        </w:tc>
        <w:tc>
          <w:tcPr>
            <w:tcW w:w="3445" w:type="pct"/>
            <w:noWrap w:val="0"/>
            <w:vAlign w:val="center"/>
          </w:tcPr>
          <w:p w14:paraId="55BC141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202</w:t>
            </w:r>
            <w:r>
              <w:rPr>
                <w:rFonts w:hint="eastAsia" w:ascii="宋体" w:hAnsi="宋体" w:eastAsia="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eastAsia="zh-CN"/>
              </w:rPr>
              <w:t>年</w:t>
            </w:r>
            <w:r>
              <w:rPr>
                <w:rFonts w:hint="eastAsia" w:ascii="宋体" w:hAnsi="宋体" w:eastAsia="宋体" w:cs="宋体"/>
                <w:color w:val="auto"/>
                <w:sz w:val="28"/>
                <w:szCs w:val="28"/>
                <w:highlight w:val="none"/>
                <w:u w:val="none"/>
                <w:lang w:val="en-US" w:eastAsia="zh-CN"/>
              </w:rPr>
              <w:t>11</w:t>
            </w:r>
            <w:r>
              <w:rPr>
                <w:rFonts w:hint="eastAsia" w:ascii="宋体" w:hAnsi="宋体" w:eastAsia="宋体" w:cs="宋体"/>
                <w:color w:val="auto"/>
                <w:sz w:val="28"/>
                <w:szCs w:val="28"/>
                <w:highlight w:val="none"/>
                <w:u w:val="none"/>
                <w:lang w:eastAsia="zh-CN"/>
              </w:rPr>
              <w:t>月-工程结束</w:t>
            </w:r>
          </w:p>
        </w:tc>
      </w:tr>
      <w:tr w14:paraId="620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0883099E">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w:t>
            </w:r>
          </w:p>
        </w:tc>
        <w:tc>
          <w:tcPr>
            <w:tcW w:w="1123" w:type="pct"/>
            <w:noWrap w:val="0"/>
            <w:vAlign w:val="center"/>
          </w:tcPr>
          <w:p w14:paraId="3BB3BE6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质量要求</w:t>
            </w:r>
          </w:p>
        </w:tc>
        <w:tc>
          <w:tcPr>
            <w:tcW w:w="3445" w:type="pct"/>
            <w:noWrap w:val="0"/>
            <w:vAlign w:val="center"/>
          </w:tcPr>
          <w:p w14:paraId="68D6526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合格</w:t>
            </w:r>
          </w:p>
        </w:tc>
      </w:tr>
      <w:tr w14:paraId="3431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30E657D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w:t>
            </w:r>
          </w:p>
        </w:tc>
        <w:tc>
          <w:tcPr>
            <w:tcW w:w="1123" w:type="pct"/>
            <w:noWrap w:val="0"/>
            <w:vAlign w:val="center"/>
          </w:tcPr>
          <w:p w14:paraId="16ADFE4D">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参选人</w:t>
            </w:r>
          </w:p>
          <w:p w14:paraId="22E15A98">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资格条件</w:t>
            </w:r>
          </w:p>
        </w:tc>
        <w:tc>
          <w:tcPr>
            <w:tcW w:w="3445" w:type="pct"/>
            <w:noWrap w:val="0"/>
            <w:vAlign w:val="center"/>
          </w:tcPr>
          <w:p w14:paraId="41F90B4E">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在中华人民共和国境内注册的法人或其他组织，</w:t>
            </w:r>
            <w:r>
              <w:rPr>
                <w:rFonts w:hint="eastAsia" w:ascii="宋体" w:hAnsi="宋体" w:eastAsia="宋体" w:cs="宋体"/>
                <w:color w:val="auto"/>
                <w:sz w:val="28"/>
                <w:szCs w:val="28"/>
                <w:highlight w:val="none"/>
                <w:lang w:val="en-US" w:eastAsia="zh-CN"/>
              </w:rPr>
              <w:t>参选</w:t>
            </w:r>
            <w:r>
              <w:rPr>
                <w:rFonts w:hint="eastAsia" w:ascii="宋体" w:hAnsi="宋体" w:eastAsia="宋体" w:cs="宋体"/>
                <w:color w:val="auto"/>
                <w:sz w:val="28"/>
                <w:szCs w:val="28"/>
                <w:highlight w:val="none"/>
                <w:lang w:eastAsia="zh-CN"/>
              </w:rPr>
              <w:t>时提交有效的营业执照（或事业法人登记证等相关证明）副本复印件。分支机构投标的，须提供总公司和分公司营业执照副本复印件，总公司出具给分支机构的授权书</w:t>
            </w:r>
            <w:r>
              <w:rPr>
                <w:rFonts w:hint="eastAsia" w:ascii="宋体" w:hAnsi="宋体" w:eastAsia="宋体" w:cs="宋体"/>
                <w:color w:val="auto"/>
                <w:sz w:val="28"/>
                <w:szCs w:val="28"/>
                <w:highlight w:val="none"/>
                <w:lang w:val="en-US" w:eastAsia="zh-CN"/>
              </w:rPr>
              <w:t>。</w:t>
            </w:r>
          </w:p>
          <w:p w14:paraId="24DE59E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与采购人存在利害关系可能影响采购公正性的法人、其他组织或者个人，不得参加本项目响应；单位负责人为同一人或者存在控股（含法定代表人控股）、管理关系的不同单位，不得参加同一项目响应，否则均按否决响应处理。</w:t>
            </w:r>
          </w:p>
          <w:p w14:paraId="62A44289">
            <w:pPr>
              <w:pStyle w:val="16"/>
              <w:keepNext w:val="0"/>
              <w:keepLines w:val="0"/>
              <w:pageBreakBefore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556"/>
              <w:jc w:val="left"/>
              <w:textAlignment w:val="auto"/>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pP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3、</w:t>
            </w:r>
            <w:r>
              <w:rPr>
                <w:rFonts w:hint="eastAsia" w:ascii="宋体" w:hAnsi="宋体" w:eastAsia="宋体" w:cs="宋体"/>
                <w:b w:val="0"/>
                <w:bCs w:val="0"/>
                <w:i w:val="0"/>
                <w:iCs w:val="0"/>
                <w:caps w:val="0"/>
                <w:color w:val="auto"/>
                <w:spacing w:val="0"/>
                <w:kern w:val="0"/>
                <w:sz w:val="28"/>
                <w:szCs w:val="28"/>
                <w:highlight w:val="none"/>
                <w:u w:val="none"/>
                <w:shd w:val="clear" w:fill="FFFFFF"/>
                <w:lang w:val="en-US" w:eastAsia="zh-CN" w:bidi="ar"/>
              </w:rPr>
              <w:t>参选人</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未被列入“信用中国”网站(</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fldChar w:fldCharType="begin"/>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instrText xml:space="preserve"> HYPERLINK "http://www.creditchina.gov.cn" </w:instrTex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fldChar w:fldCharType="separate"/>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www.creditchina.gov.cn</w:t>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fldChar w:fldCharType="end"/>
            </w:r>
            <w:r>
              <w:rPr>
                <w:rFonts w:hint="eastAsia" w:ascii="宋体" w:hAnsi="宋体" w:eastAsia="宋体" w:cs="宋体"/>
                <w:b w:val="0"/>
                <w:bCs w:val="0"/>
                <w:i w:val="0"/>
                <w:iCs w:val="0"/>
                <w:caps w:val="0"/>
                <w:color w:val="auto"/>
                <w:spacing w:val="0"/>
                <w:sz w:val="28"/>
                <w:szCs w:val="28"/>
                <w:highlight w:val="none"/>
                <w:u w:val="none"/>
                <w:shd w:val="clear" w:fill="FFFFFF"/>
                <w:lang w:val="en-US" w:eastAsia="zh-CN"/>
              </w:rPr>
              <w:t>)以下任何记录名单之一：①失信被执行人；②重大税收违法失信主体；③政府采购严重违法失信行为。同时，不处于中国政府采购网(www.ccgp.gov.cn)“政府采购严重违法失信行为信息记录”中的禁止参加政府采购活动期间。（说明：①由采购人、采购代理机构于投标截止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参选人为分公司的，同时对该分公司所属总公司（总所）进行信用记录查询，该分公司所属总公司（总所）存在不良信用记录的，视同供应商存在不良信用记录。）</w:t>
            </w:r>
          </w:p>
          <w:p w14:paraId="3A467735">
            <w:pPr>
              <w:pStyle w:val="31"/>
              <w:keepNext w:val="0"/>
              <w:keepLines w:val="0"/>
              <w:pageBreakBefore w:val="0"/>
              <w:framePr w:wrap="auto" w:vAnchor="margin" w:hAnchor="text" w:yAlign="inline"/>
              <w:kinsoku/>
              <w:wordWrap w:val="0"/>
              <w:overflowPunct/>
              <w:topLinePunct w:val="0"/>
              <w:autoSpaceDE/>
              <w:autoSpaceDN/>
              <w:bidi w:val="0"/>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本次采购不接受联合体响应。</w:t>
            </w:r>
          </w:p>
        </w:tc>
      </w:tr>
      <w:tr w14:paraId="586E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5074AAC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w:t>
            </w:r>
          </w:p>
        </w:tc>
        <w:tc>
          <w:tcPr>
            <w:tcW w:w="1123" w:type="pct"/>
            <w:noWrap w:val="0"/>
            <w:vAlign w:val="center"/>
          </w:tcPr>
          <w:p w14:paraId="049E566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是否接受</w:t>
            </w:r>
          </w:p>
          <w:p w14:paraId="60919804">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联合体</w:t>
            </w:r>
          </w:p>
        </w:tc>
        <w:tc>
          <w:tcPr>
            <w:tcW w:w="3445" w:type="pct"/>
            <w:noWrap w:val="0"/>
            <w:vAlign w:val="center"/>
          </w:tcPr>
          <w:p w14:paraId="2E8499D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□接受，但联合体所有成员不得超过2家。</w:t>
            </w:r>
          </w:p>
          <w:p w14:paraId="0599C80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不接受</w:t>
            </w:r>
          </w:p>
        </w:tc>
      </w:tr>
      <w:tr w14:paraId="2F33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5AB14C5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8</w:t>
            </w:r>
          </w:p>
        </w:tc>
        <w:tc>
          <w:tcPr>
            <w:tcW w:w="1123" w:type="pct"/>
            <w:noWrap w:val="0"/>
            <w:vAlign w:val="center"/>
          </w:tcPr>
          <w:p w14:paraId="53867A5F">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踏勘现场</w:t>
            </w:r>
          </w:p>
        </w:tc>
        <w:tc>
          <w:tcPr>
            <w:tcW w:w="3445" w:type="pct"/>
            <w:noWrap w:val="0"/>
            <w:vAlign w:val="center"/>
          </w:tcPr>
          <w:p w14:paraId="7BDB7960">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□组织</w:t>
            </w:r>
          </w:p>
          <w:p w14:paraId="7EA959D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☑不组织</w:t>
            </w:r>
          </w:p>
          <w:p w14:paraId="29262D8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采购人不组织统一的现场踏勘。若为获取自己负责的有关编制响应文件的资料，响应人可自行安排踏勘，但现场踏勘的费用、交通、安全及其它相关问题，均由响应人自己承担和解决。</w:t>
            </w:r>
          </w:p>
        </w:tc>
      </w:tr>
      <w:tr w14:paraId="64B3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2FFD3B82">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w:t>
            </w:r>
          </w:p>
        </w:tc>
        <w:tc>
          <w:tcPr>
            <w:tcW w:w="1123" w:type="pct"/>
            <w:noWrap w:val="0"/>
            <w:vAlign w:val="center"/>
          </w:tcPr>
          <w:p w14:paraId="6BE6E12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3445" w:type="pct"/>
            <w:noWrap w:val="0"/>
            <w:vAlign w:val="center"/>
          </w:tcPr>
          <w:p w14:paraId="0D9E428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☑不允许</w:t>
            </w:r>
          </w:p>
          <w:p w14:paraId="382B6D80">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□允许</w:t>
            </w:r>
          </w:p>
          <w:p w14:paraId="76AA432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允许细微偏离，应当符合相关规定的偏离范围和幅度。</w:t>
            </w:r>
          </w:p>
        </w:tc>
      </w:tr>
      <w:tr w14:paraId="0333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7BB9F912">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10</w:t>
            </w:r>
          </w:p>
        </w:tc>
        <w:tc>
          <w:tcPr>
            <w:tcW w:w="1123" w:type="pct"/>
            <w:noWrap w:val="0"/>
            <w:vAlign w:val="center"/>
          </w:tcPr>
          <w:p w14:paraId="2886592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截止时间</w:t>
            </w:r>
          </w:p>
        </w:tc>
        <w:tc>
          <w:tcPr>
            <w:tcW w:w="3445" w:type="pct"/>
            <w:noWrap w:val="0"/>
            <w:vAlign w:val="center"/>
          </w:tcPr>
          <w:p w14:paraId="3EF7737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u w:val="single"/>
                <w:lang w:val="en-US" w:eastAsia="zh-CN"/>
              </w:rPr>
              <w:t>2025年11月12日12:00</w:t>
            </w:r>
          </w:p>
        </w:tc>
      </w:tr>
      <w:tr w14:paraId="1A3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0524314D">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11</w:t>
            </w:r>
          </w:p>
        </w:tc>
        <w:tc>
          <w:tcPr>
            <w:tcW w:w="1123" w:type="pct"/>
            <w:noWrap w:val="0"/>
            <w:vAlign w:val="center"/>
          </w:tcPr>
          <w:p w14:paraId="6D562ED4">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保证金</w:t>
            </w:r>
          </w:p>
        </w:tc>
        <w:tc>
          <w:tcPr>
            <w:tcW w:w="3445" w:type="pct"/>
            <w:noWrap w:val="0"/>
            <w:vAlign w:val="center"/>
          </w:tcPr>
          <w:p w14:paraId="7ED2390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本项目不收取采购保证金</w:t>
            </w:r>
          </w:p>
        </w:tc>
      </w:tr>
      <w:tr w14:paraId="33B8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6FC24528">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12</w:t>
            </w:r>
          </w:p>
        </w:tc>
        <w:tc>
          <w:tcPr>
            <w:tcW w:w="1123" w:type="pct"/>
            <w:noWrap w:val="0"/>
            <w:vAlign w:val="center"/>
          </w:tcPr>
          <w:p w14:paraId="1313524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p w14:paraId="710F419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具体要求</w:t>
            </w:r>
          </w:p>
        </w:tc>
        <w:tc>
          <w:tcPr>
            <w:tcW w:w="3445" w:type="pct"/>
            <w:noWrap w:val="0"/>
            <w:vAlign w:val="center"/>
          </w:tcPr>
          <w:p w14:paraId="5621013B">
            <w:pPr>
              <w:keepNext w:val="0"/>
              <w:keepLines w:val="0"/>
              <w:pageBreakBefore w:val="0"/>
              <w:framePr w:wrap="auto" w:vAnchor="margin" w:hAnchor="text" w:yAlign="inline"/>
              <w:widowControl/>
              <w:kinsoku/>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响应文件应用不褪色的墨水书写或打印，</w:t>
            </w:r>
            <w:r>
              <w:rPr>
                <w:rFonts w:hint="eastAsia" w:ascii="宋体" w:hAnsi="宋体" w:eastAsia="宋体" w:cs="宋体"/>
                <w:color w:val="auto"/>
                <w:sz w:val="28"/>
                <w:szCs w:val="28"/>
                <w:highlight w:val="none"/>
                <w:lang w:val="en-US" w:eastAsia="zh-CN"/>
              </w:rPr>
              <w:t>并</w:t>
            </w:r>
            <w:r>
              <w:rPr>
                <w:rFonts w:hint="eastAsia" w:ascii="宋体" w:hAnsi="宋体" w:eastAsia="宋体" w:cs="宋体"/>
                <w:b w:val="0"/>
                <w:bCs w:val="0"/>
                <w:color w:val="auto"/>
                <w:sz w:val="28"/>
                <w:szCs w:val="28"/>
                <w:highlight w:val="none"/>
                <w:lang w:eastAsia="zh-CN"/>
              </w:rPr>
              <w:t>按竞价文件明确规定的格式和要求签名和盖章。</w:t>
            </w:r>
          </w:p>
        </w:tc>
      </w:tr>
      <w:tr w14:paraId="5286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7DE72740">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13</w:t>
            </w:r>
          </w:p>
        </w:tc>
        <w:tc>
          <w:tcPr>
            <w:tcW w:w="1123" w:type="pct"/>
            <w:noWrap w:val="0"/>
            <w:vAlign w:val="center"/>
          </w:tcPr>
          <w:p w14:paraId="531A01B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w:t>
            </w:r>
          </w:p>
          <w:p w14:paraId="752AA4E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份数</w:t>
            </w:r>
          </w:p>
        </w:tc>
        <w:tc>
          <w:tcPr>
            <w:tcW w:w="3445" w:type="pct"/>
            <w:noWrap w:val="0"/>
            <w:vAlign w:val="center"/>
          </w:tcPr>
          <w:p w14:paraId="0614FB3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一式</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份，密封提交</w:t>
            </w:r>
            <w:r>
              <w:rPr>
                <w:rFonts w:hint="eastAsia" w:ascii="宋体" w:hAnsi="宋体" w:eastAsia="宋体" w:cs="宋体"/>
                <w:color w:val="auto"/>
                <w:sz w:val="28"/>
                <w:szCs w:val="28"/>
                <w:highlight w:val="none"/>
                <w:lang w:eastAsia="zh-CN"/>
              </w:rPr>
              <w:t>。</w:t>
            </w:r>
          </w:p>
        </w:tc>
      </w:tr>
      <w:tr w14:paraId="1090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18ECB5F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14</w:t>
            </w:r>
          </w:p>
        </w:tc>
        <w:tc>
          <w:tcPr>
            <w:tcW w:w="1123" w:type="pct"/>
            <w:noWrap w:val="0"/>
            <w:vAlign w:val="center"/>
          </w:tcPr>
          <w:p w14:paraId="70F6C39E">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装订要求</w:t>
            </w:r>
          </w:p>
        </w:tc>
        <w:tc>
          <w:tcPr>
            <w:tcW w:w="3445" w:type="pct"/>
            <w:noWrap w:val="0"/>
            <w:vAlign w:val="center"/>
          </w:tcPr>
          <w:p w14:paraId="7091A8D9">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无</w:t>
            </w:r>
          </w:p>
        </w:tc>
      </w:tr>
      <w:tr w14:paraId="2C13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16F67E10">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15</w:t>
            </w:r>
          </w:p>
        </w:tc>
        <w:tc>
          <w:tcPr>
            <w:tcW w:w="1123" w:type="pct"/>
            <w:noWrap w:val="0"/>
            <w:vAlign w:val="center"/>
          </w:tcPr>
          <w:p w14:paraId="52C31B5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封套上写明</w:t>
            </w:r>
          </w:p>
        </w:tc>
        <w:tc>
          <w:tcPr>
            <w:tcW w:w="3445" w:type="pct"/>
            <w:noWrap w:val="0"/>
            <w:vAlign w:val="center"/>
          </w:tcPr>
          <w:p w14:paraId="1588875C">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采购人名称：</w:t>
            </w:r>
            <w:r>
              <w:rPr>
                <w:rFonts w:hint="eastAsia" w:ascii="宋体" w:hAnsi="宋体" w:eastAsia="宋体" w:cs="宋体"/>
                <w:color w:val="auto"/>
                <w:sz w:val="28"/>
                <w:szCs w:val="28"/>
                <w:highlight w:val="none"/>
                <w:lang w:val="en-US" w:eastAsia="zh-CN"/>
              </w:rPr>
              <w:t>广东高丰建设工程有限公司</w:t>
            </w:r>
          </w:p>
          <w:p w14:paraId="6754D96F">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送达响应文件地址：</w:t>
            </w:r>
            <w:r>
              <w:rPr>
                <w:rFonts w:hint="eastAsia" w:ascii="宋体" w:hAnsi="宋体" w:eastAsia="宋体" w:cs="宋体"/>
                <w:color w:val="auto"/>
                <w:sz w:val="28"/>
                <w:szCs w:val="28"/>
                <w:highlight w:val="none"/>
                <w:u w:val="single"/>
                <w:lang w:val="en-US" w:eastAsia="zh-CN"/>
              </w:rPr>
              <w:t>惠州市惠东县惠东大道1212号公路事务养护中心4楼高丰公司</w:t>
            </w:r>
          </w:p>
          <w:p w14:paraId="75C1DC0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响应人名称：</w:t>
            </w:r>
            <w:r>
              <w:rPr>
                <w:rFonts w:hint="eastAsia" w:ascii="宋体" w:hAnsi="宋体" w:eastAsia="宋体" w:cs="宋体"/>
                <w:color w:val="auto"/>
                <w:sz w:val="28"/>
                <w:szCs w:val="28"/>
                <w:highlight w:val="none"/>
                <w:u w:val="single"/>
                <w:lang w:eastAsia="zh-CN"/>
              </w:rPr>
              <w:t xml:space="preserve">    </w:t>
            </w:r>
          </w:p>
          <w:p w14:paraId="22161C7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响应人地址：</w:t>
            </w:r>
            <w:r>
              <w:rPr>
                <w:rFonts w:hint="eastAsia" w:ascii="宋体" w:hAnsi="宋体" w:eastAsia="宋体" w:cs="宋体"/>
                <w:color w:val="auto"/>
                <w:sz w:val="28"/>
                <w:szCs w:val="28"/>
                <w:highlight w:val="none"/>
                <w:u w:val="single"/>
                <w:lang w:eastAsia="zh-CN"/>
              </w:rPr>
              <w:t xml:space="preserve">    </w:t>
            </w:r>
          </w:p>
          <w:p w14:paraId="2CC54F84">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响应项目名称：</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响应文件</w:t>
            </w:r>
          </w:p>
          <w:p w14:paraId="2F9233CF">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bCs/>
                <w:color w:val="auto"/>
                <w:sz w:val="28"/>
                <w:szCs w:val="28"/>
                <w:highlight w:val="none"/>
                <w:lang w:eastAsia="zh-CN"/>
              </w:rPr>
              <w:t>年</w:t>
            </w:r>
            <w:r>
              <w:rPr>
                <w:rFonts w:hint="eastAsia" w:ascii="宋体" w:hAnsi="宋体" w:eastAsia="宋体" w:cs="宋体"/>
                <w:bCs/>
                <w:color w:val="auto"/>
                <w:sz w:val="28"/>
                <w:szCs w:val="28"/>
                <w:highlight w:val="none"/>
                <w:u w:val="single"/>
                <w:lang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eastAsia="zh-CN"/>
              </w:rPr>
              <w:t xml:space="preserve"> </w:t>
            </w:r>
            <w:r>
              <w:rPr>
                <w:rFonts w:hint="eastAsia" w:ascii="宋体" w:hAnsi="宋体" w:eastAsia="宋体" w:cs="宋体"/>
                <w:color w:val="auto"/>
                <w:kern w:val="44"/>
                <w:sz w:val="28"/>
                <w:szCs w:val="28"/>
                <w:highlight w:val="none"/>
                <w:lang w:eastAsia="zh-CN"/>
              </w:rPr>
              <w:t>月</w:t>
            </w:r>
            <w:r>
              <w:rPr>
                <w:rFonts w:hint="eastAsia" w:ascii="宋体" w:hAnsi="宋体" w:eastAsia="宋体" w:cs="宋体"/>
                <w:color w:val="auto"/>
                <w:kern w:val="44"/>
                <w:sz w:val="28"/>
                <w:szCs w:val="28"/>
                <w:highlight w:val="none"/>
                <w:u w:val="single"/>
                <w:lang w:eastAsia="zh-CN"/>
              </w:rPr>
              <w:t xml:space="preserve"> </w:t>
            </w:r>
            <w:r>
              <w:rPr>
                <w:rFonts w:hint="eastAsia" w:ascii="宋体" w:hAnsi="宋体" w:eastAsia="宋体" w:cs="宋体"/>
                <w:color w:val="auto"/>
                <w:kern w:val="44"/>
                <w:sz w:val="28"/>
                <w:szCs w:val="28"/>
                <w:highlight w:val="none"/>
                <w:u w:val="single"/>
                <w:lang w:val="en-US" w:eastAsia="zh-CN"/>
              </w:rPr>
              <w:t xml:space="preserve">  </w:t>
            </w:r>
            <w:r>
              <w:rPr>
                <w:rFonts w:hint="eastAsia" w:ascii="宋体" w:hAnsi="宋体" w:eastAsia="宋体" w:cs="宋体"/>
                <w:color w:val="auto"/>
                <w:kern w:val="44"/>
                <w:sz w:val="28"/>
                <w:szCs w:val="28"/>
                <w:highlight w:val="none"/>
                <w:u w:val="single"/>
                <w:lang w:eastAsia="zh-CN"/>
              </w:rPr>
              <w:t xml:space="preserve"> </w:t>
            </w:r>
            <w:r>
              <w:rPr>
                <w:rFonts w:hint="eastAsia" w:ascii="宋体" w:hAnsi="宋体" w:eastAsia="宋体" w:cs="宋体"/>
                <w:color w:val="auto"/>
                <w:kern w:val="44"/>
                <w:sz w:val="28"/>
                <w:szCs w:val="28"/>
                <w:highlight w:val="none"/>
                <w:lang w:eastAsia="zh-CN"/>
              </w:rPr>
              <w:t>日</w:t>
            </w:r>
            <w:r>
              <w:rPr>
                <w:rFonts w:hint="eastAsia" w:ascii="宋体" w:hAnsi="宋体" w:eastAsia="宋体" w:cs="宋体"/>
                <w:color w:val="auto"/>
                <w:kern w:val="44"/>
                <w:sz w:val="28"/>
                <w:szCs w:val="28"/>
                <w:highlight w:val="none"/>
                <w:u w:val="single"/>
                <w:lang w:eastAsia="zh-CN"/>
              </w:rPr>
              <w:t xml:space="preserve"> </w:t>
            </w:r>
            <w:r>
              <w:rPr>
                <w:rFonts w:hint="eastAsia" w:ascii="宋体" w:hAnsi="宋体" w:eastAsia="宋体" w:cs="宋体"/>
                <w:color w:val="auto"/>
                <w:kern w:val="44"/>
                <w:sz w:val="28"/>
                <w:szCs w:val="28"/>
                <w:highlight w:val="none"/>
                <w:u w:val="single"/>
                <w:lang w:val="en-US" w:eastAsia="zh-CN"/>
              </w:rPr>
              <w:t xml:space="preserve">  </w:t>
            </w:r>
            <w:r>
              <w:rPr>
                <w:rFonts w:hint="eastAsia" w:ascii="宋体" w:hAnsi="宋体" w:eastAsia="宋体" w:cs="宋体"/>
                <w:color w:val="auto"/>
                <w:kern w:val="44"/>
                <w:sz w:val="28"/>
                <w:szCs w:val="28"/>
                <w:highlight w:val="none"/>
                <w:u w:val="single"/>
                <w:lang w:eastAsia="zh-CN"/>
              </w:rPr>
              <w:t xml:space="preserve"> </w:t>
            </w:r>
            <w:r>
              <w:rPr>
                <w:rFonts w:hint="eastAsia" w:ascii="宋体" w:hAnsi="宋体" w:eastAsia="宋体" w:cs="宋体"/>
                <w:color w:val="auto"/>
                <w:kern w:val="44"/>
                <w:sz w:val="28"/>
                <w:szCs w:val="28"/>
                <w:highlight w:val="none"/>
                <w:lang w:eastAsia="zh-CN"/>
              </w:rPr>
              <w:t>时</w:t>
            </w:r>
            <w:r>
              <w:rPr>
                <w:rFonts w:hint="eastAsia" w:ascii="宋体" w:hAnsi="宋体" w:eastAsia="宋体" w:cs="宋体"/>
                <w:color w:val="auto"/>
                <w:kern w:val="44"/>
                <w:sz w:val="28"/>
                <w:szCs w:val="28"/>
                <w:highlight w:val="none"/>
                <w:u w:val="single"/>
                <w:lang w:eastAsia="zh-CN"/>
              </w:rPr>
              <w:t xml:space="preserve"> </w:t>
            </w:r>
            <w:r>
              <w:rPr>
                <w:rFonts w:hint="eastAsia" w:ascii="宋体" w:hAnsi="宋体" w:eastAsia="宋体" w:cs="宋体"/>
                <w:color w:val="auto"/>
                <w:kern w:val="44"/>
                <w:sz w:val="28"/>
                <w:szCs w:val="28"/>
                <w:highlight w:val="none"/>
                <w:u w:val="single"/>
                <w:lang w:val="en-US" w:eastAsia="zh-CN"/>
              </w:rPr>
              <w:t xml:space="preserve">   </w:t>
            </w:r>
            <w:r>
              <w:rPr>
                <w:rFonts w:hint="eastAsia" w:ascii="宋体" w:hAnsi="宋体" w:eastAsia="宋体" w:cs="宋体"/>
                <w:color w:val="auto"/>
                <w:kern w:val="44"/>
                <w:sz w:val="28"/>
                <w:szCs w:val="28"/>
                <w:highlight w:val="none"/>
                <w:u w:val="single"/>
                <w:lang w:eastAsia="zh-CN"/>
              </w:rPr>
              <w:t xml:space="preserve"> </w:t>
            </w:r>
            <w:r>
              <w:rPr>
                <w:rFonts w:hint="eastAsia" w:ascii="宋体" w:hAnsi="宋体" w:eastAsia="宋体" w:cs="宋体"/>
                <w:color w:val="auto"/>
                <w:kern w:val="44"/>
                <w:sz w:val="28"/>
                <w:szCs w:val="28"/>
                <w:highlight w:val="none"/>
                <w:lang w:eastAsia="zh-CN"/>
              </w:rPr>
              <w:t>分（即开启时间）</w:t>
            </w:r>
            <w:r>
              <w:rPr>
                <w:rFonts w:hint="eastAsia" w:ascii="宋体" w:hAnsi="宋体" w:eastAsia="宋体" w:cs="宋体"/>
                <w:color w:val="auto"/>
                <w:sz w:val="28"/>
                <w:szCs w:val="28"/>
                <w:highlight w:val="none"/>
                <w:lang w:eastAsia="zh-CN"/>
              </w:rPr>
              <w:t>前不得开启</w:t>
            </w:r>
          </w:p>
          <w:p w14:paraId="4F0CC826">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eastAsia="zh-CN"/>
              </w:rPr>
              <w:t>封口处须加盖响应人单位公章</w:t>
            </w:r>
          </w:p>
        </w:tc>
      </w:tr>
      <w:tr w14:paraId="2E8D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13FE669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16</w:t>
            </w:r>
          </w:p>
        </w:tc>
        <w:tc>
          <w:tcPr>
            <w:tcW w:w="1123" w:type="pct"/>
            <w:noWrap w:val="0"/>
            <w:vAlign w:val="center"/>
          </w:tcPr>
          <w:p w14:paraId="4B99D71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递交</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地点</w:t>
            </w:r>
          </w:p>
        </w:tc>
        <w:tc>
          <w:tcPr>
            <w:tcW w:w="3445" w:type="pct"/>
            <w:noWrap w:val="0"/>
            <w:vAlign w:val="center"/>
          </w:tcPr>
          <w:p w14:paraId="03264EC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Cs/>
                <w:color w:val="auto"/>
                <w:sz w:val="28"/>
                <w:szCs w:val="28"/>
                <w:highlight w:val="none"/>
                <w:u w:val="single"/>
                <w:lang w:val="en-US" w:eastAsia="zh-CN"/>
              </w:rPr>
              <w:t xml:space="preserve"> 惠州市惠东县惠东大道1212号公路事务养护中心4楼高丰公司 </w:t>
            </w:r>
          </w:p>
        </w:tc>
      </w:tr>
      <w:tr w14:paraId="0286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38EF1B9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17</w:t>
            </w:r>
          </w:p>
        </w:tc>
        <w:tc>
          <w:tcPr>
            <w:tcW w:w="1123" w:type="pct"/>
            <w:noWrap w:val="0"/>
            <w:vAlign w:val="center"/>
          </w:tcPr>
          <w:p w14:paraId="441479A2">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响应文件开启时间和地点</w:t>
            </w:r>
          </w:p>
        </w:tc>
        <w:tc>
          <w:tcPr>
            <w:tcW w:w="3445" w:type="pct"/>
            <w:noWrap w:val="0"/>
            <w:vAlign w:val="center"/>
          </w:tcPr>
          <w:p w14:paraId="1155EEB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开启时间：同响应截止时间</w:t>
            </w:r>
          </w:p>
          <w:p w14:paraId="0E5BA8E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开启地点：同递交响应文件地点</w:t>
            </w:r>
          </w:p>
        </w:tc>
      </w:tr>
      <w:tr w14:paraId="4088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6CF61A06">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18</w:t>
            </w:r>
          </w:p>
        </w:tc>
        <w:tc>
          <w:tcPr>
            <w:tcW w:w="1123" w:type="pct"/>
            <w:noWrap w:val="0"/>
            <w:vAlign w:val="center"/>
          </w:tcPr>
          <w:p w14:paraId="1021E1E0">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竞价</w:t>
            </w:r>
            <w:r>
              <w:rPr>
                <w:rFonts w:hint="eastAsia" w:ascii="宋体" w:hAnsi="宋体" w:eastAsia="宋体" w:cs="宋体"/>
                <w:color w:val="auto"/>
                <w:sz w:val="28"/>
                <w:szCs w:val="28"/>
                <w:highlight w:val="none"/>
              </w:rPr>
              <w:t>程序</w:t>
            </w:r>
          </w:p>
        </w:tc>
        <w:tc>
          <w:tcPr>
            <w:tcW w:w="3445" w:type="pct"/>
            <w:noWrap w:val="0"/>
            <w:vAlign w:val="center"/>
          </w:tcPr>
          <w:p w14:paraId="64F46C93">
            <w:pPr>
              <w:pStyle w:val="32"/>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ind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（1）核对原件：</w:t>
            </w:r>
            <w:r>
              <w:rPr>
                <w:rFonts w:hint="eastAsia" w:ascii="宋体" w:hAnsi="宋体" w:eastAsia="宋体" w:cs="宋体"/>
                <w:color w:val="auto"/>
                <w:sz w:val="28"/>
                <w:szCs w:val="28"/>
                <w:highlight w:val="none"/>
                <w:lang w:val="en-US" w:eastAsia="zh-CN"/>
              </w:rPr>
              <w:t>无</w:t>
            </w:r>
            <w:r>
              <w:rPr>
                <w:rFonts w:hint="eastAsia" w:ascii="宋体" w:hAnsi="宋体" w:eastAsia="宋体" w:cs="宋体"/>
                <w:color w:val="auto"/>
                <w:sz w:val="28"/>
                <w:szCs w:val="28"/>
                <w:highlight w:val="none"/>
                <w:lang w:eastAsia="zh-CN"/>
              </w:rPr>
              <w:t>；</w:t>
            </w:r>
          </w:p>
          <w:p w14:paraId="66C575A8">
            <w:pPr>
              <w:keepNext w:val="0"/>
              <w:keepLines w:val="0"/>
              <w:pageBreakBefore w:val="0"/>
              <w:widowControl/>
              <w:kinsoku/>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eastAsia="zh-CN"/>
              </w:rPr>
              <w:t>（2）</w:t>
            </w:r>
            <w:r>
              <w:rPr>
                <w:rFonts w:hint="eastAsia" w:ascii="宋体" w:hAnsi="宋体" w:eastAsia="宋体" w:cs="宋体"/>
                <w:color w:val="auto"/>
                <w:sz w:val="28"/>
                <w:szCs w:val="28"/>
                <w:highlight w:val="none"/>
                <w:lang w:eastAsia="zh-CN"/>
              </w:rPr>
              <w:t>开启顺序：按响应人递交响应文件时间的</w:t>
            </w:r>
            <w:r>
              <w:rPr>
                <w:rFonts w:hint="eastAsia" w:ascii="宋体" w:hAnsi="宋体" w:eastAsia="宋体" w:cs="宋体"/>
                <w:color w:val="auto"/>
                <w:sz w:val="28"/>
                <w:szCs w:val="28"/>
                <w:highlight w:val="none"/>
                <w:lang w:val="en-US" w:eastAsia="zh-CN"/>
              </w:rPr>
              <w:t>顺序</w:t>
            </w:r>
            <w:r>
              <w:rPr>
                <w:rFonts w:hint="eastAsia" w:ascii="宋体" w:hAnsi="宋体" w:eastAsia="宋体" w:cs="宋体"/>
                <w:color w:val="auto"/>
                <w:sz w:val="28"/>
                <w:szCs w:val="28"/>
                <w:highlight w:val="none"/>
                <w:lang w:eastAsia="zh-CN"/>
              </w:rPr>
              <w:t>开启；</w:t>
            </w:r>
          </w:p>
          <w:p w14:paraId="037DA95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）开启时，报价函中报价总价小写金额与大写金额不一致时，以大写金额为准。</w:t>
            </w:r>
          </w:p>
        </w:tc>
      </w:tr>
      <w:tr w14:paraId="43B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00DDA03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19</w:t>
            </w:r>
          </w:p>
        </w:tc>
        <w:tc>
          <w:tcPr>
            <w:tcW w:w="1123" w:type="pct"/>
            <w:noWrap w:val="0"/>
            <w:vAlign w:val="center"/>
          </w:tcPr>
          <w:p w14:paraId="5156C8D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eastAsia="zh-CN"/>
              </w:rPr>
              <w:t>选</w:t>
            </w:r>
            <w:r>
              <w:rPr>
                <w:rFonts w:hint="eastAsia" w:ascii="宋体" w:hAnsi="宋体" w:eastAsia="宋体" w:cs="宋体"/>
                <w:color w:val="auto"/>
                <w:sz w:val="28"/>
                <w:szCs w:val="28"/>
                <w:highlight w:val="none"/>
              </w:rPr>
              <w:t>办法</w:t>
            </w:r>
          </w:p>
        </w:tc>
        <w:tc>
          <w:tcPr>
            <w:tcW w:w="3445" w:type="pct"/>
            <w:noWrap w:val="0"/>
            <w:vAlign w:val="center"/>
          </w:tcPr>
          <w:p w14:paraId="4C518EE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详见第四部分</w:t>
            </w:r>
          </w:p>
        </w:tc>
      </w:tr>
      <w:tr w14:paraId="3DBC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1BE02EFD">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p>
        </w:tc>
        <w:tc>
          <w:tcPr>
            <w:tcW w:w="1123" w:type="pct"/>
            <w:noWrap w:val="0"/>
            <w:vAlign w:val="center"/>
          </w:tcPr>
          <w:p w14:paraId="21F7DDAE">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推荐中选候选人</w:t>
            </w:r>
          </w:p>
        </w:tc>
        <w:tc>
          <w:tcPr>
            <w:tcW w:w="3445" w:type="pct"/>
            <w:noWrap w:val="0"/>
            <w:vAlign w:val="center"/>
          </w:tcPr>
          <w:p w14:paraId="7C6F3FF6">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推荐中选候选人的人数为</w:t>
            </w:r>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eastAsia="zh-CN"/>
              </w:rPr>
              <w:t>名。</w:t>
            </w:r>
          </w:p>
        </w:tc>
      </w:tr>
      <w:tr w14:paraId="4FA6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0F7B35D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1</w:t>
            </w:r>
          </w:p>
        </w:tc>
        <w:tc>
          <w:tcPr>
            <w:tcW w:w="1123" w:type="pct"/>
            <w:noWrap w:val="0"/>
            <w:vAlign w:val="center"/>
          </w:tcPr>
          <w:p w14:paraId="1925FA1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中</w:t>
            </w:r>
            <w:r>
              <w:rPr>
                <w:rFonts w:hint="eastAsia" w:ascii="宋体" w:hAnsi="宋体" w:eastAsia="宋体" w:cs="宋体"/>
                <w:color w:val="auto"/>
                <w:sz w:val="28"/>
                <w:szCs w:val="28"/>
                <w:highlight w:val="none"/>
                <w:lang w:eastAsia="zh-CN"/>
              </w:rPr>
              <w:t>选</w:t>
            </w:r>
            <w:r>
              <w:rPr>
                <w:rFonts w:hint="eastAsia" w:ascii="宋体" w:hAnsi="宋体" w:eastAsia="宋体" w:cs="宋体"/>
                <w:color w:val="auto"/>
                <w:sz w:val="28"/>
                <w:szCs w:val="28"/>
                <w:highlight w:val="none"/>
              </w:rPr>
              <w:t>通知</w:t>
            </w:r>
          </w:p>
        </w:tc>
        <w:tc>
          <w:tcPr>
            <w:tcW w:w="3445" w:type="pct"/>
            <w:noWrap w:val="0"/>
            <w:vAlign w:val="center"/>
          </w:tcPr>
          <w:p w14:paraId="529D79B6">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采购</w:t>
            </w:r>
            <w:r>
              <w:rPr>
                <w:rFonts w:hint="eastAsia" w:ascii="宋体" w:hAnsi="宋体" w:eastAsia="宋体" w:cs="宋体"/>
                <w:color w:val="auto"/>
                <w:sz w:val="28"/>
                <w:szCs w:val="28"/>
                <w:highlight w:val="none"/>
                <w:u w:val="none"/>
                <w:lang w:eastAsia="zh-CN" w:bidi="ar"/>
              </w:rPr>
              <w:t>人将</w:t>
            </w:r>
            <w:r>
              <w:rPr>
                <w:rFonts w:hint="eastAsia" w:ascii="宋体" w:hAnsi="宋体" w:eastAsia="宋体" w:cs="宋体"/>
                <w:color w:val="auto"/>
                <w:sz w:val="28"/>
                <w:szCs w:val="28"/>
                <w:highlight w:val="none"/>
                <w:u w:val="none"/>
                <w:lang w:val="en-US" w:eastAsia="zh-CN"/>
              </w:rPr>
              <w:t>竞价</w:t>
            </w:r>
            <w:r>
              <w:rPr>
                <w:rFonts w:hint="eastAsia" w:ascii="宋体" w:hAnsi="宋体" w:eastAsia="宋体" w:cs="宋体"/>
                <w:color w:val="auto"/>
                <w:sz w:val="28"/>
                <w:szCs w:val="28"/>
                <w:highlight w:val="none"/>
                <w:u w:val="none"/>
                <w:lang w:eastAsia="zh-CN" w:bidi="ar"/>
              </w:rPr>
              <w:t>结果在</w:t>
            </w:r>
            <w:r>
              <w:rPr>
                <w:rFonts w:hint="eastAsia" w:ascii="宋体" w:hAnsi="宋体" w:eastAsia="宋体" w:cs="宋体"/>
                <w:color w:val="auto"/>
                <w:sz w:val="28"/>
                <w:szCs w:val="28"/>
                <w:highlight w:val="none"/>
                <w:u w:val="none"/>
                <w:lang w:val="en-US" w:eastAsia="zh-CN" w:bidi="ar"/>
              </w:rPr>
              <w:t>广东高丰建设工程有限公司</w:t>
            </w:r>
            <w:r>
              <w:rPr>
                <w:rFonts w:hint="eastAsia" w:ascii="宋体" w:hAnsi="宋体" w:eastAsia="宋体" w:cs="宋体"/>
                <w:color w:val="auto"/>
                <w:sz w:val="28"/>
                <w:szCs w:val="28"/>
                <w:highlight w:val="none"/>
                <w:u w:val="none"/>
                <w:lang w:eastAsia="zh-CN" w:bidi="ar"/>
              </w:rPr>
              <w:t>官网（http://www.gdtianfeng.com/）公示</w:t>
            </w:r>
            <w:r>
              <w:rPr>
                <w:rFonts w:hint="eastAsia" w:ascii="宋体" w:hAnsi="宋体" w:eastAsia="宋体" w:cs="宋体"/>
                <w:color w:val="auto"/>
                <w:sz w:val="28"/>
                <w:szCs w:val="28"/>
                <w:highlight w:val="none"/>
                <w:u w:val="none"/>
                <w:lang w:val="en-US" w:eastAsia="zh-CN" w:bidi="ar"/>
              </w:rPr>
              <w:t>不少于3日</w:t>
            </w:r>
            <w:r>
              <w:rPr>
                <w:rFonts w:hint="eastAsia" w:ascii="宋体" w:hAnsi="宋体" w:eastAsia="宋体" w:cs="宋体"/>
                <w:color w:val="auto"/>
                <w:sz w:val="28"/>
                <w:szCs w:val="28"/>
                <w:highlight w:val="none"/>
                <w:u w:val="none"/>
                <w:lang w:eastAsia="zh-CN" w:bidi="ar"/>
              </w:rPr>
              <w:t>，公示无异议后以书面形式向中选人发出中选通知书。</w:t>
            </w:r>
          </w:p>
        </w:tc>
      </w:tr>
      <w:tr w14:paraId="220D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142636D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p>
        </w:tc>
        <w:tc>
          <w:tcPr>
            <w:tcW w:w="1123" w:type="pct"/>
            <w:noWrap w:val="0"/>
            <w:vAlign w:val="center"/>
          </w:tcPr>
          <w:p w14:paraId="061E7E6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履约担保</w:t>
            </w:r>
          </w:p>
        </w:tc>
        <w:tc>
          <w:tcPr>
            <w:tcW w:w="3445" w:type="pct"/>
            <w:noWrap w:val="0"/>
            <w:vAlign w:val="center"/>
          </w:tcPr>
          <w:p w14:paraId="27C03C9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p>
        </w:tc>
      </w:tr>
      <w:tr w14:paraId="766E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noWrap w:val="0"/>
            <w:vAlign w:val="center"/>
          </w:tcPr>
          <w:p w14:paraId="27860FD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p>
        </w:tc>
        <w:tc>
          <w:tcPr>
            <w:tcW w:w="1123" w:type="pct"/>
            <w:noWrap w:val="0"/>
            <w:vAlign w:val="center"/>
          </w:tcPr>
          <w:p w14:paraId="7F701C80">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质量担保</w:t>
            </w:r>
          </w:p>
        </w:tc>
        <w:tc>
          <w:tcPr>
            <w:tcW w:w="3445" w:type="pct"/>
            <w:noWrap w:val="0"/>
            <w:vAlign w:val="center"/>
          </w:tcPr>
          <w:p w14:paraId="74D9484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r>
      <w:tr w14:paraId="0772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000" w:type="pct"/>
            <w:gridSpan w:val="3"/>
            <w:vAlign w:val="center"/>
          </w:tcPr>
          <w:p w14:paraId="140B6A7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bCs w:val="0"/>
                <w:color w:val="auto"/>
                <w:sz w:val="28"/>
                <w:szCs w:val="28"/>
                <w:highlight w:val="none"/>
              </w:rPr>
              <w:t>需要补充的其他内容</w:t>
            </w:r>
          </w:p>
        </w:tc>
      </w:tr>
      <w:tr w14:paraId="0C00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vAlign w:val="center"/>
          </w:tcPr>
          <w:p w14:paraId="7B23C273">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4</w:t>
            </w:r>
          </w:p>
        </w:tc>
        <w:tc>
          <w:tcPr>
            <w:tcW w:w="1123" w:type="pct"/>
            <w:vAlign w:val="center"/>
          </w:tcPr>
          <w:p w14:paraId="6B5FFB54">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废</w:t>
            </w:r>
            <w:r>
              <w:rPr>
                <w:rFonts w:hint="eastAsia" w:ascii="宋体" w:hAnsi="宋体" w:eastAsia="宋体" w:cs="宋体"/>
                <w:b w:val="0"/>
                <w:bCs/>
                <w:color w:val="auto"/>
                <w:sz w:val="28"/>
                <w:szCs w:val="28"/>
                <w:highlight w:val="none"/>
                <w:lang w:eastAsia="zh-CN"/>
              </w:rPr>
              <w:t>选</w:t>
            </w:r>
            <w:r>
              <w:rPr>
                <w:rFonts w:hint="eastAsia" w:ascii="宋体" w:hAnsi="宋体" w:eastAsia="宋体" w:cs="宋体"/>
                <w:b w:val="0"/>
                <w:bCs/>
                <w:color w:val="auto"/>
                <w:sz w:val="28"/>
                <w:szCs w:val="28"/>
                <w:highlight w:val="none"/>
              </w:rPr>
              <w:t>条款</w:t>
            </w:r>
          </w:p>
        </w:tc>
        <w:tc>
          <w:tcPr>
            <w:tcW w:w="3445" w:type="pct"/>
            <w:vAlign w:val="center"/>
          </w:tcPr>
          <w:p w14:paraId="28F523A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1、响应人必须同时满足本表格第6项“参选人资格条件”所列的全部条件，否则废选；</w:t>
            </w:r>
          </w:p>
          <w:p w14:paraId="5744EDF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eastAsia="zh-CN"/>
              </w:rPr>
              <w:t>2、响应人必须在约定的时间内，将响应文件递交到指定地点，否则废选：</w:t>
            </w:r>
          </w:p>
        </w:tc>
      </w:tr>
      <w:tr w14:paraId="49F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vAlign w:val="center"/>
          </w:tcPr>
          <w:p w14:paraId="6BE783FD">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2</w:t>
            </w:r>
            <w:r>
              <w:rPr>
                <w:rFonts w:hint="eastAsia" w:ascii="宋体" w:hAnsi="宋体" w:eastAsia="宋体" w:cs="宋体"/>
                <w:b w:val="0"/>
                <w:bCs/>
                <w:color w:val="auto"/>
                <w:sz w:val="28"/>
                <w:szCs w:val="28"/>
                <w:highlight w:val="none"/>
                <w:lang w:val="en-US" w:eastAsia="zh-CN"/>
              </w:rPr>
              <w:t>5</w:t>
            </w:r>
          </w:p>
        </w:tc>
        <w:tc>
          <w:tcPr>
            <w:tcW w:w="1123" w:type="pct"/>
            <w:vAlign w:val="center"/>
          </w:tcPr>
          <w:p w14:paraId="1304A93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最高限价</w:t>
            </w:r>
          </w:p>
        </w:tc>
        <w:tc>
          <w:tcPr>
            <w:tcW w:w="3445" w:type="pct"/>
            <w:vAlign w:val="center"/>
          </w:tcPr>
          <w:p w14:paraId="21A236E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本工程</w:t>
            </w:r>
            <w:r>
              <w:rPr>
                <w:rFonts w:hint="eastAsia" w:ascii="宋体" w:hAnsi="宋体" w:eastAsia="宋体" w:cs="宋体"/>
                <w:b w:val="0"/>
                <w:bCs/>
                <w:color w:val="auto"/>
                <w:sz w:val="28"/>
                <w:szCs w:val="28"/>
                <w:highlight w:val="none"/>
                <w:lang w:val="en-US" w:eastAsia="zh-CN"/>
              </w:rPr>
              <w:t>不设置最高限价</w:t>
            </w:r>
          </w:p>
        </w:tc>
      </w:tr>
      <w:tr w14:paraId="4CD4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vAlign w:val="center"/>
          </w:tcPr>
          <w:p w14:paraId="5D75AD25">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2</w:t>
            </w:r>
            <w:r>
              <w:rPr>
                <w:rFonts w:hint="eastAsia" w:ascii="宋体" w:hAnsi="宋体" w:eastAsia="宋体" w:cs="宋体"/>
                <w:b w:val="0"/>
                <w:bCs/>
                <w:color w:val="auto"/>
                <w:sz w:val="28"/>
                <w:szCs w:val="28"/>
                <w:highlight w:val="none"/>
                <w:lang w:val="en-US" w:eastAsia="zh-CN"/>
              </w:rPr>
              <w:t>6</w:t>
            </w:r>
          </w:p>
        </w:tc>
        <w:tc>
          <w:tcPr>
            <w:tcW w:w="1123" w:type="pct"/>
            <w:vAlign w:val="center"/>
          </w:tcPr>
          <w:p w14:paraId="06A2433F">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eastAsia="zh-CN"/>
              </w:rPr>
              <w:t>重新竞价</w:t>
            </w:r>
          </w:p>
        </w:tc>
        <w:tc>
          <w:tcPr>
            <w:tcW w:w="3445" w:type="pct"/>
            <w:vAlign w:val="center"/>
          </w:tcPr>
          <w:p w14:paraId="747BE40F">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有下列情形之一的，采购人将重新竞价：</w:t>
            </w:r>
          </w:p>
          <w:p w14:paraId="3925D87D">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（1）响应截止时间止，响应人少于3个的；</w:t>
            </w:r>
          </w:p>
          <w:p w14:paraId="27894097">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（2）采购代理机构审查后否决所有响应文件的；</w:t>
            </w:r>
          </w:p>
          <w:p w14:paraId="126C6D5A">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（3）中选人无正当理由拒签合同的，或者中选人放弃中选或因不可抗力不能履行合同，或者被查实存在影响中选结果的违法行为等情形，中选人不符合中选条件的；</w:t>
            </w:r>
          </w:p>
          <w:p w14:paraId="0AB875C1">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eastAsia="zh-CN"/>
              </w:rPr>
              <w:t>（4）法律规定的其他情形。</w:t>
            </w:r>
          </w:p>
        </w:tc>
      </w:tr>
      <w:tr w14:paraId="1657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1" w:type="pct"/>
            <w:vAlign w:val="center"/>
          </w:tcPr>
          <w:p w14:paraId="7328955C">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2</w:t>
            </w:r>
            <w:r>
              <w:rPr>
                <w:rFonts w:hint="eastAsia" w:ascii="宋体" w:hAnsi="宋体" w:eastAsia="宋体" w:cs="宋体"/>
                <w:b w:val="0"/>
                <w:bCs/>
                <w:color w:val="auto"/>
                <w:sz w:val="28"/>
                <w:szCs w:val="28"/>
                <w:highlight w:val="none"/>
                <w:lang w:val="en-US" w:eastAsia="zh-CN"/>
              </w:rPr>
              <w:t>7</w:t>
            </w:r>
          </w:p>
        </w:tc>
        <w:tc>
          <w:tcPr>
            <w:tcW w:w="1123" w:type="pct"/>
            <w:vAlign w:val="center"/>
          </w:tcPr>
          <w:p w14:paraId="28CC869D">
            <w:pPr>
              <w:keepNext w:val="0"/>
              <w:keepLines w:val="0"/>
              <w:pageBreakBefore w:val="0"/>
              <w:framePr w:wrap="auto" w:vAnchor="margin" w:hAnchor="text" w:yAlign="inline"/>
              <w:widowControl/>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其他</w:t>
            </w:r>
          </w:p>
        </w:tc>
        <w:tc>
          <w:tcPr>
            <w:tcW w:w="3445" w:type="pct"/>
            <w:vAlign w:val="center"/>
          </w:tcPr>
          <w:p w14:paraId="4BE1A86B">
            <w:pPr>
              <w:keepNext w:val="0"/>
              <w:keepLines w:val="0"/>
              <w:pageBreakBefore w:val="0"/>
              <w:framePr w:wrap="auto" w:vAnchor="margin" w:hAnchor="text" w:yAlign="inline"/>
              <w:widowControl/>
              <w:kinsoku/>
              <w:wordWrap w:val="0"/>
              <w:overflowPunct/>
              <w:topLinePunct w:val="0"/>
              <w:autoSpaceDE/>
              <w:autoSpaceDN/>
              <w:bidi w:val="0"/>
              <w:adjustRightInd w:val="0"/>
              <w:snapToGrid/>
              <w:spacing w:before="0" w:after="0" w:line="360" w:lineRule="auto"/>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本竞价文件的解释权归广东高丰建设工程有限公司、惠州志宏工程监理咨询有限公司。</w:t>
            </w:r>
          </w:p>
        </w:tc>
      </w:tr>
    </w:tbl>
    <w:p w14:paraId="1B00E8C8">
      <w:pPr>
        <w:framePr w:wrap="auto" w:vAnchor="margin" w:hAnchor="text" w:yAlign="inline"/>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0096C76D">
      <w:pPr>
        <w:framePr w:wrap="auto" w:vAnchor="margin" w:hAnchor="text" w:yAlign="inline"/>
        <w:rPr>
          <w:rFonts w:hint="eastAsia" w:ascii="宋体" w:hAnsi="宋体" w:eastAsia="宋体" w:cs="宋体"/>
          <w:color w:val="auto"/>
          <w:highlight w:val="none"/>
          <w:lang w:eastAsia="zh-CN"/>
        </w:rPr>
      </w:pPr>
    </w:p>
    <w:p w14:paraId="700649AE">
      <w:pPr>
        <w:framePr w:wrap="auto" w:vAnchor="margin" w:hAnchor="text" w:yAlign="inline"/>
        <w:adjustRightInd w:val="0"/>
        <w:snapToGrid w:val="0"/>
        <w:spacing w:line="360" w:lineRule="auto"/>
        <w:outlineLvl w:val="9"/>
        <w:rPr>
          <w:rFonts w:hint="eastAsia" w:ascii="宋体" w:hAnsi="宋体" w:eastAsia="宋体" w:cs="宋体"/>
          <w:color w:val="auto"/>
          <w:highlight w:val="none"/>
          <w:lang w:eastAsia="zh-CN"/>
        </w:rPr>
      </w:pPr>
      <w:r>
        <w:rPr>
          <w:rFonts w:hint="eastAsia" w:ascii="宋体" w:hAnsi="宋体" w:eastAsia="宋体" w:cs="宋体"/>
          <w:b/>
          <w:color w:val="auto"/>
          <w:sz w:val="28"/>
          <w:szCs w:val="28"/>
          <w:highlight w:val="none"/>
          <w:lang w:eastAsia="zh-CN"/>
        </w:rPr>
        <w:t>附表一：</w:t>
      </w:r>
    </w:p>
    <w:p w14:paraId="038F8E13">
      <w:pPr>
        <w:framePr w:wrap="auto" w:vAnchor="margin" w:hAnchor="text" w:yAlign="inline"/>
        <w:widowControl w:val="0"/>
        <w:wordWrap w:val="0"/>
        <w:topLinePunct/>
        <w:adjustRightInd w:val="0"/>
        <w:snapToGrid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中选通知书</w:t>
      </w:r>
    </w:p>
    <w:p w14:paraId="5FD92FC7">
      <w:pPr>
        <w:framePr w:wrap="auto" w:vAnchor="margin" w:hAnchor="text" w:yAlign="inline"/>
        <w:widowControl w:val="0"/>
        <w:wordWrap w:val="0"/>
        <w:topLinePunct/>
        <w:adjustRightInd w:val="0"/>
        <w:snapToGrid w:val="0"/>
        <w:spacing w:line="360" w:lineRule="auto"/>
        <w:ind w:firstLine="480" w:firstLineChars="200"/>
        <w:rPr>
          <w:rFonts w:hint="eastAsia" w:ascii="宋体" w:hAnsi="宋体" w:eastAsia="宋体" w:cs="宋体"/>
          <w:color w:val="auto"/>
          <w:highlight w:val="none"/>
          <w:lang w:eastAsia="zh-CN"/>
        </w:rPr>
      </w:pPr>
    </w:p>
    <w:p w14:paraId="14503592">
      <w:pPr>
        <w:framePr w:wrap="auto" w:vAnchor="margin" w:hAnchor="text" w:yAlign="inline"/>
        <w:widowControl w:val="0"/>
        <w:wordWrap w:val="0"/>
        <w:topLinePunct/>
        <w:adjustRightInd w:val="0"/>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（中选人名称）：</w:t>
      </w:r>
    </w:p>
    <w:p w14:paraId="7DA848FC">
      <w:pPr>
        <w:framePr w:wrap="auto" w:vAnchor="margin" w:hAnchor="text" w:yAlign="inline"/>
        <w:widowControl w:val="0"/>
        <w:wordWrap w:val="0"/>
        <w:topLinePunct/>
        <w:adjustRightInd w:val="0"/>
        <w:snapToGrid w:val="0"/>
        <w:spacing w:line="360" w:lineRule="auto"/>
        <w:ind w:firstLine="560" w:firstLineChars="200"/>
        <w:rPr>
          <w:rFonts w:hint="eastAsia" w:ascii="宋体" w:hAnsi="宋体" w:eastAsia="宋体" w:cs="宋体"/>
          <w:color w:val="auto"/>
          <w:sz w:val="28"/>
          <w:szCs w:val="28"/>
          <w:highlight w:val="none"/>
          <w:u w:val="single"/>
          <w:lang w:eastAsia="zh-CN"/>
        </w:rPr>
      </w:pPr>
    </w:p>
    <w:p w14:paraId="06C1F665">
      <w:pPr>
        <w:framePr w:wrap="auto" w:vAnchor="margin" w:hAnchor="text" w:yAlign="inline"/>
        <w:widowControl w:val="0"/>
        <w:wordWrap w:val="0"/>
        <w:topLinePunct/>
        <w:adjustRightInd w:val="0"/>
        <w:snapToGrid w:val="0"/>
        <w:spacing w:line="360" w:lineRule="auto"/>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你方于</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（响应截止日期前）所递交的</w:t>
      </w:r>
      <w:r>
        <w:rPr>
          <w:rFonts w:hint="eastAsia" w:ascii="宋体" w:hAnsi="宋体" w:eastAsia="宋体" w:cs="宋体"/>
          <w:color w:val="auto"/>
          <w:sz w:val="28"/>
          <w:szCs w:val="28"/>
          <w:highlight w:val="none"/>
          <w:u w:val="single"/>
          <w:lang w:eastAsia="zh-CN"/>
        </w:rPr>
        <w:t>广东省惠州市惠东县稔山镇蟹洲海堤水闸重建工程（编号04号）阻锈剂防腐剂材料采购</w:t>
      </w: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eastAsia="zh-CN"/>
        </w:rPr>
        <w:t>ZHGC2024029-04</w:t>
      </w:r>
      <w:r>
        <w:rPr>
          <w:rFonts w:hint="eastAsia" w:ascii="宋体" w:hAnsi="宋体" w:eastAsia="宋体" w:cs="宋体"/>
          <w:color w:val="auto"/>
          <w:sz w:val="28"/>
          <w:szCs w:val="28"/>
          <w:highlight w:val="none"/>
          <w:lang w:eastAsia="zh-CN"/>
        </w:rPr>
        <w:t>响应文件已被</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eastAsia="zh-CN"/>
        </w:rPr>
        <w:t>接受，被确定为中选人。</w:t>
      </w:r>
    </w:p>
    <w:p w14:paraId="4D3C4DC2">
      <w:pPr>
        <w:framePr w:wrap="auto" w:vAnchor="margin" w:hAnchor="text" w:yAlign="inline"/>
        <w:widowControl w:val="0"/>
        <w:wordWrap w:val="0"/>
        <w:topLinePunct/>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中选</w:t>
      </w:r>
      <w:r>
        <w:rPr>
          <w:rFonts w:hint="eastAsia" w:ascii="宋体" w:hAnsi="宋体" w:eastAsia="宋体" w:cs="宋体"/>
          <w:color w:val="auto"/>
          <w:sz w:val="28"/>
          <w:szCs w:val="28"/>
          <w:highlight w:val="none"/>
          <w:lang w:val="en-US" w:eastAsia="zh-CN"/>
        </w:rPr>
        <w:t>金额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元。</w:t>
      </w:r>
    </w:p>
    <w:p w14:paraId="3272DDFC">
      <w:pPr>
        <w:framePr w:wrap="auto" w:vAnchor="margin" w:hAnchor="text" w:yAlign="inline"/>
        <w:widowControl w:val="0"/>
        <w:wordWrap w:val="0"/>
        <w:topLinePunct/>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工期</w:t>
      </w:r>
      <w:r>
        <w:rPr>
          <w:rFonts w:hint="eastAsia" w:ascii="宋体" w:hAnsi="宋体" w:eastAsia="宋体" w:cs="宋体"/>
          <w:color w:val="auto"/>
          <w:sz w:val="28"/>
          <w:szCs w:val="28"/>
          <w:highlight w:val="none"/>
          <w:lang w:val="en-US" w:eastAsia="zh-CN"/>
        </w:rPr>
        <w:t>时间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w:t>
      </w:r>
    </w:p>
    <w:p w14:paraId="608A263A">
      <w:pPr>
        <w:framePr w:wrap="auto" w:vAnchor="margin" w:hAnchor="text" w:yAlign="inline"/>
        <w:widowControl w:val="0"/>
        <w:wordWrap w:val="0"/>
        <w:topLinePunct/>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请你方在接到本通知书后的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日内到</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与采购人签订合同。</w:t>
      </w:r>
    </w:p>
    <w:p w14:paraId="11AF57B0">
      <w:pPr>
        <w:framePr w:wrap="auto" w:vAnchor="margin" w:hAnchor="text" w:yAlign="inline"/>
        <w:widowControl w:val="0"/>
        <w:wordWrap w:val="0"/>
        <w:topLinePunct/>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p>
    <w:p w14:paraId="1492510B">
      <w:pPr>
        <w:framePr w:wrap="auto" w:vAnchor="margin" w:hAnchor="text" w:yAlign="inline"/>
        <w:widowControl w:val="0"/>
        <w:wordWrap w:val="0"/>
        <w:topLinePunct/>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特此通知。</w:t>
      </w:r>
    </w:p>
    <w:p w14:paraId="684AF9C1">
      <w:pPr>
        <w:framePr w:wrap="auto" w:vAnchor="margin" w:hAnchor="text" w:yAlign="inline"/>
        <w:widowControl w:val="0"/>
        <w:wordWrap w:val="0"/>
        <w:topLinePunct/>
        <w:adjustRightInd w:val="0"/>
        <w:snapToGrid w:val="0"/>
        <w:spacing w:line="360" w:lineRule="auto"/>
        <w:ind w:firstLine="4317" w:firstLineChars="1542"/>
        <w:jc w:val="left"/>
        <w:rPr>
          <w:rFonts w:hint="eastAsia" w:ascii="宋体" w:hAnsi="宋体" w:eastAsia="宋体" w:cs="宋体"/>
          <w:color w:val="auto"/>
          <w:sz w:val="28"/>
          <w:szCs w:val="28"/>
          <w:highlight w:val="none"/>
          <w:lang w:eastAsia="zh-CN"/>
        </w:rPr>
      </w:pPr>
    </w:p>
    <w:p w14:paraId="78EA82A2">
      <w:pPr>
        <w:pStyle w:val="31"/>
        <w:framePr w:wrap="auto" w:vAnchor="margin" w:hAnchor="text" w:yAlign="inline"/>
        <w:wordWrap/>
        <w:topLinePunct/>
        <w:adjustRightInd w:val="0"/>
        <w:snapToGrid w:val="0"/>
        <w:spacing w:line="360" w:lineRule="auto"/>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广东高丰建设工程有限公司</w:t>
      </w:r>
    </w:p>
    <w:p w14:paraId="2F6D8D57">
      <w:pPr>
        <w:pStyle w:val="31"/>
        <w:framePr w:wrap="auto" w:vAnchor="margin" w:hAnchor="text" w:yAlign="inline"/>
        <w:wordWrap/>
        <w:topLinePunct/>
        <w:adjustRightInd w:val="0"/>
        <w:snapToGrid w:val="0"/>
        <w:spacing w:line="360" w:lineRule="auto"/>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采购代理机构：惠州志宏工程监理咨询有限公司</w:t>
      </w:r>
    </w:p>
    <w:p w14:paraId="3533B6A0">
      <w:pPr>
        <w:pStyle w:val="31"/>
        <w:framePr w:wrap="auto" w:vAnchor="margin" w:hAnchor="text" w:yAlign="inline"/>
        <w:wordWrap/>
        <w:spacing w:line="440" w:lineRule="exact"/>
        <w:jc w:val="righ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D886196">
      <w:pPr>
        <w:framePr w:wrap="auto" w:vAnchor="margin" w:hAnchor="text" w:yAlign="inline"/>
        <w:rPr>
          <w:rFonts w:hint="eastAsia" w:ascii="宋体" w:hAnsi="宋体" w:eastAsia="宋体" w:cs="宋体"/>
          <w:b/>
          <w:bCs/>
          <w:color w:val="auto"/>
          <w:sz w:val="32"/>
          <w:szCs w:val="32"/>
          <w:highlight w:val="none"/>
          <w:lang w:eastAsia="zh-CN"/>
        </w:rPr>
        <w:sectPr>
          <w:footerReference r:id="rId5" w:type="default"/>
          <w:pgSz w:w="11900" w:h="16840"/>
          <w:pgMar w:top="1440" w:right="1697" w:bottom="1440" w:left="1803" w:header="851" w:footer="992" w:gutter="0"/>
          <w:pgBorders>
            <w:top w:val="none" w:sz="0" w:space="0"/>
            <w:left w:val="none" w:sz="0" w:space="0"/>
            <w:bottom w:val="none" w:sz="0" w:space="0"/>
            <w:right w:val="none" w:sz="0" w:space="0"/>
          </w:pgBorders>
          <w:pgNumType w:fmt="decimal" w:start="2"/>
          <w:cols w:space="0" w:num="1"/>
          <w:rtlGutter w:val="0"/>
          <w:docGrid w:linePitch="0" w:charSpace="0"/>
        </w:sectPr>
      </w:pPr>
      <w:r>
        <w:rPr>
          <w:rFonts w:hint="eastAsia" w:ascii="宋体" w:hAnsi="宋体" w:eastAsia="宋体" w:cs="宋体"/>
          <w:b/>
          <w:bCs/>
          <w:color w:val="auto"/>
          <w:sz w:val="32"/>
          <w:szCs w:val="32"/>
          <w:highlight w:val="none"/>
          <w:lang w:eastAsia="zh-CN"/>
        </w:rPr>
        <w:br w:type="page"/>
      </w:r>
    </w:p>
    <w:p w14:paraId="71FEE5D1">
      <w:pPr>
        <w:keepNext w:val="0"/>
        <w:keepLines/>
        <w:pageBreakBefore w:val="0"/>
        <w:framePr w:wrap="auto" w:vAnchor="margin" w:hAnchor="text" w:yAlign="inline"/>
        <w:widowControl/>
        <w:numPr>
          <w:ilvl w:val="0"/>
          <w:numId w:val="2"/>
        </w:numPr>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15" w:name="_Toc14264"/>
      <w:r>
        <w:rPr>
          <w:rFonts w:hint="eastAsia" w:ascii="宋体" w:hAnsi="宋体" w:eastAsia="宋体" w:cs="宋体"/>
          <w:b/>
          <w:bCs/>
          <w:color w:val="auto"/>
          <w:sz w:val="32"/>
          <w:szCs w:val="32"/>
          <w:highlight w:val="none"/>
          <w:lang w:val="zh-TW" w:eastAsia="zh-TW"/>
        </w:rPr>
        <w:t xml:space="preserve"> </w:t>
      </w:r>
      <w:bookmarkStart w:id="16" w:name="_Toc11382"/>
      <w:r>
        <w:rPr>
          <w:rFonts w:hint="eastAsia" w:ascii="宋体" w:hAnsi="宋体" w:eastAsia="宋体" w:cs="宋体"/>
          <w:b/>
          <w:bCs/>
          <w:color w:val="auto"/>
          <w:sz w:val="32"/>
          <w:szCs w:val="32"/>
          <w:highlight w:val="none"/>
          <w:lang w:val="en-US" w:eastAsia="zh-CN"/>
        </w:rPr>
        <w:t>工程量清单</w:t>
      </w:r>
      <w:bookmarkEnd w:id="15"/>
      <w:bookmarkEnd w:id="16"/>
    </w:p>
    <w:p w14:paraId="66ACE0DD">
      <w:pPr>
        <w:framePr w:wrap="auto" w:vAnchor="margin" w:hAnchor="text" w:yAlign="inline"/>
        <w:kinsoku w:val="0"/>
        <w:autoSpaceDE w:val="0"/>
        <w:autoSpaceDN w:val="0"/>
        <w:adjustRightInd w:val="0"/>
        <w:snapToGrid w:val="0"/>
        <w:spacing w:line="100" w:lineRule="exact"/>
        <w:jc w:val="left"/>
        <w:textAlignment w:val="baseline"/>
        <w:rPr>
          <w:rFonts w:ascii="Arial" w:hAnsi="Arial" w:eastAsia="Arial" w:cs="Arial"/>
          <w:snapToGrid w:val="0"/>
          <w:color w:val="000000"/>
          <w:kern w:val="0"/>
          <w:sz w:val="24"/>
          <w:szCs w:val="24"/>
        </w:rPr>
      </w:pPr>
    </w:p>
    <w:p w14:paraId="3A3DD410">
      <w:pPr>
        <w:framePr w:wrap="auto" w:vAnchor="margin" w:hAnchor="text" w:yAlign="inline"/>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阻锈剂防腐剂材料采购报价表</w:t>
      </w:r>
    </w:p>
    <w:p w14:paraId="5C57323D">
      <w:pPr>
        <w:framePr w:wrap="auto" w:vAnchor="margin" w:hAnchor="text" w:yAlign="inline"/>
        <w:rPr>
          <w:rFonts w:hint="eastAsia" w:ascii="宋体" w:hAnsi="宋体" w:eastAsia="宋体" w:cs="宋体"/>
          <w:color w:val="auto"/>
          <w:sz w:val="28"/>
          <w:szCs w:val="28"/>
          <w:highlight w:val="none"/>
          <w:lang w:eastAsia="zh-CN"/>
        </w:rPr>
      </w:pPr>
    </w:p>
    <w:p w14:paraId="53F3FC09">
      <w:pPr>
        <w:framePr w:wrap="auto" w:vAnchor="margin" w:hAnchor="text" w:yAlign="in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工程名称：广东省惠州市惠东县稔山镇蟹洲海堤水闸重建工程</w:t>
      </w:r>
    </w:p>
    <w:p w14:paraId="7A85146D">
      <w:pPr>
        <w:framePr w:wrap="auto" w:vAnchor="margin" w:hAnchor="text" w:yAlign="in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报价单位(盖章):       </w:t>
      </w:r>
    </w:p>
    <w:p w14:paraId="6E1992D6">
      <w:pPr>
        <w:framePr w:wrap="auto" w:vAnchor="margin" w:hAnchor="text" w:yAlign="in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29A4F8B7">
      <w:pPr>
        <w:framePr w:wrap="auto" w:vAnchor="margin" w:hAnchor="text" w:yAlign="in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联系人：     </w:t>
      </w:r>
    </w:p>
    <w:p w14:paraId="53E5C10C">
      <w:pPr>
        <w:framePr w:wrap="auto" w:vAnchor="margin" w:hAnchor="text" w:yAlign="in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60A6257A">
      <w:pPr>
        <w:framePr w:wrap="auto" w:vAnchor="margin" w:hAnchor="text" w:yAlign="inline"/>
        <w:rPr>
          <w:rFonts w:hint="eastAsia" w:ascii="宋体" w:hAnsi="宋体" w:eastAsia="宋体" w:cs="宋体"/>
          <w:color w:val="auto"/>
          <w:sz w:val="20"/>
          <w:szCs w:val="20"/>
          <w:highlight w:val="none"/>
          <w:lang w:eastAsia="zh-CN"/>
        </w:rPr>
      </w:pPr>
    </w:p>
    <w:tbl>
      <w:tblPr>
        <w:tblStyle w:val="29"/>
        <w:tblpPr w:leftFromText="180" w:rightFromText="180" w:vertAnchor="text" w:horzAnchor="page" w:tblpX="1802" w:tblpY="73"/>
        <w:tblOverlap w:val="never"/>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301"/>
        <w:gridCol w:w="545"/>
        <w:gridCol w:w="1232"/>
        <w:gridCol w:w="1678"/>
        <w:gridCol w:w="1798"/>
        <w:gridCol w:w="1474"/>
      </w:tblGrid>
      <w:tr w14:paraId="7CFD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630" w:type="dxa"/>
            <w:vAlign w:val="top"/>
          </w:tcPr>
          <w:p w14:paraId="799E7A9B">
            <w:pPr>
              <w:framePr w:wrap="auto" w:vAnchor="margin" w:hAnchor="text" w:yAlign="inline"/>
              <w:kinsoku w:val="0"/>
              <w:autoSpaceDE w:val="0"/>
              <w:autoSpaceDN w:val="0"/>
              <w:adjustRightInd w:val="0"/>
              <w:snapToGrid w:val="0"/>
              <w:spacing w:before="81" w:line="241" w:lineRule="auto"/>
              <w:ind w:left="2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1301" w:type="dxa"/>
            <w:vAlign w:val="top"/>
          </w:tcPr>
          <w:p w14:paraId="494F2ECA">
            <w:pPr>
              <w:framePr w:wrap="auto" w:vAnchor="margin" w:hAnchor="text" w:yAlign="inline"/>
              <w:kinsoku w:val="0"/>
              <w:autoSpaceDE w:val="0"/>
              <w:autoSpaceDN w:val="0"/>
              <w:adjustRightInd w:val="0"/>
              <w:snapToGrid w:val="0"/>
              <w:spacing w:before="81" w:line="219" w:lineRule="auto"/>
              <w:ind w:left="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阻锈剂</w:t>
            </w:r>
          </w:p>
        </w:tc>
        <w:tc>
          <w:tcPr>
            <w:tcW w:w="545" w:type="dxa"/>
            <w:vAlign w:val="top"/>
          </w:tcPr>
          <w:p w14:paraId="0D7BD9FC">
            <w:pPr>
              <w:framePr w:wrap="auto" w:vAnchor="margin" w:hAnchor="text" w:yAlign="inline"/>
              <w:kinsoku w:val="0"/>
              <w:autoSpaceDE w:val="0"/>
              <w:autoSpaceDN w:val="0"/>
              <w:adjustRightInd w:val="0"/>
              <w:snapToGrid w:val="0"/>
              <w:spacing w:before="65" w:line="240" w:lineRule="auto"/>
              <w:ind w:left="2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t</w:t>
            </w:r>
          </w:p>
        </w:tc>
        <w:tc>
          <w:tcPr>
            <w:tcW w:w="1232" w:type="dxa"/>
            <w:vAlign w:val="top"/>
          </w:tcPr>
          <w:p w14:paraId="7670D03C">
            <w:pPr>
              <w:framePr w:wrap="auto" w:vAnchor="margin" w:hAnchor="text" w:yAlign="inline"/>
              <w:kinsoku w:val="0"/>
              <w:autoSpaceDE w:val="0"/>
              <w:autoSpaceDN w:val="0"/>
              <w:adjustRightInd w:val="0"/>
              <w:snapToGrid w:val="0"/>
              <w:spacing w:before="81" w:line="239" w:lineRule="auto"/>
              <w:ind w:left="23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457.87</w:t>
            </w:r>
          </w:p>
        </w:tc>
        <w:tc>
          <w:tcPr>
            <w:tcW w:w="1678" w:type="dxa"/>
            <w:vAlign w:val="top"/>
          </w:tcPr>
          <w:p w14:paraId="3A300588">
            <w:pPr>
              <w:framePr w:wrap="auto" w:vAnchor="margin" w:hAnchor="text" w:yAlign="inline"/>
              <w:kinsoku w:val="0"/>
              <w:autoSpaceDE w:val="0"/>
              <w:autoSpaceDN w:val="0"/>
              <w:adjustRightInd w:val="0"/>
              <w:snapToGrid w:val="0"/>
              <w:spacing w:before="81" w:line="240" w:lineRule="auto"/>
              <w:jc w:val="left"/>
              <w:textAlignment w:val="baseline"/>
              <w:rPr>
                <w:rFonts w:ascii="宋体" w:hAnsi="宋体" w:eastAsia="宋体" w:cs="宋体"/>
                <w:snapToGrid w:val="0"/>
                <w:color w:val="000000"/>
                <w:kern w:val="0"/>
                <w:sz w:val="24"/>
                <w:szCs w:val="24"/>
                <w:lang w:val="en-US" w:eastAsia="en-US" w:bidi="ar-SA"/>
              </w:rPr>
            </w:pPr>
          </w:p>
        </w:tc>
        <w:tc>
          <w:tcPr>
            <w:tcW w:w="1798" w:type="dxa"/>
            <w:vAlign w:val="top"/>
          </w:tcPr>
          <w:p w14:paraId="7F92ED03">
            <w:pPr>
              <w:framePr w:wrap="auto" w:vAnchor="margin" w:hAnchor="text" w:yAlign="inline"/>
              <w:kinsoku w:val="0"/>
              <w:autoSpaceDE w:val="0"/>
              <w:autoSpaceDN w:val="0"/>
              <w:adjustRightInd w:val="0"/>
              <w:snapToGrid w:val="0"/>
              <w:spacing w:before="81" w:line="239" w:lineRule="auto"/>
              <w:ind w:right="6"/>
              <w:jc w:val="right"/>
              <w:textAlignment w:val="baseline"/>
              <w:rPr>
                <w:rFonts w:ascii="宋体" w:hAnsi="宋体" w:eastAsia="宋体" w:cs="宋体"/>
                <w:snapToGrid w:val="0"/>
                <w:color w:val="000000"/>
                <w:kern w:val="0"/>
                <w:sz w:val="24"/>
                <w:szCs w:val="24"/>
                <w:lang w:val="en-US" w:eastAsia="en-US" w:bidi="ar-SA"/>
              </w:rPr>
            </w:pPr>
          </w:p>
        </w:tc>
        <w:tc>
          <w:tcPr>
            <w:tcW w:w="1474" w:type="dxa"/>
            <w:vAlign w:val="top"/>
          </w:tcPr>
          <w:p w14:paraId="55B71FC8">
            <w:pPr>
              <w:framePr w:wrap="auto" w:vAnchor="margin" w:hAnchor="text" w:yAlign="inline"/>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rPr>
            </w:pPr>
          </w:p>
        </w:tc>
      </w:tr>
      <w:tr w14:paraId="045A2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630" w:type="dxa"/>
            <w:vAlign w:val="top"/>
          </w:tcPr>
          <w:p w14:paraId="75B50F13">
            <w:pPr>
              <w:framePr w:wrap="auto" w:vAnchor="margin" w:hAnchor="text" w:yAlign="inline"/>
              <w:kinsoku w:val="0"/>
              <w:autoSpaceDE w:val="0"/>
              <w:autoSpaceDN w:val="0"/>
              <w:adjustRightInd w:val="0"/>
              <w:snapToGrid w:val="0"/>
              <w:spacing w:before="81" w:line="241" w:lineRule="auto"/>
              <w:ind w:left="2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w:t>
            </w:r>
          </w:p>
        </w:tc>
        <w:tc>
          <w:tcPr>
            <w:tcW w:w="1301" w:type="dxa"/>
            <w:vAlign w:val="top"/>
          </w:tcPr>
          <w:p w14:paraId="4A1C747C">
            <w:pPr>
              <w:framePr w:wrap="auto" w:vAnchor="margin" w:hAnchor="text" w:yAlign="inline"/>
              <w:kinsoku w:val="0"/>
              <w:autoSpaceDE w:val="0"/>
              <w:autoSpaceDN w:val="0"/>
              <w:adjustRightInd w:val="0"/>
              <w:snapToGrid w:val="0"/>
              <w:spacing w:before="81" w:line="205" w:lineRule="auto"/>
              <w:ind w:left="10" w:right="2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抗侵蚀防腐</w:t>
            </w:r>
            <w:r>
              <w:rPr>
                <w:rFonts w:ascii="宋体" w:hAnsi="宋体" w:eastAsia="宋体" w:cs="宋体"/>
                <w:snapToGrid w:val="0"/>
                <w:color w:val="000000"/>
                <w:kern w:val="0"/>
                <w:sz w:val="24"/>
                <w:szCs w:val="24"/>
                <w:lang w:val="en-US" w:eastAsia="en-US" w:bidi="ar-SA"/>
              </w:rPr>
              <w:t xml:space="preserve"> 剂</w:t>
            </w:r>
          </w:p>
        </w:tc>
        <w:tc>
          <w:tcPr>
            <w:tcW w:w="545" w:type="dxa"/>
            <w:vAlign w:val="top"/>
          </w:tcPr>
          <w:p w14:paraId="15DAF92C">
            <w:pPr>
              <w:framePr w:wrap="auto" w:vAnchor="margin" w:hAnchor="text" w:yAlign="inline"/>
              <w:kinsoku w:val="0"/>
              <w:autoSpaceDE w:val="0"/>
              <w:autoSpaceDN w:val="0"/>
              <w:adjustRightInd w:val="0"/>
              <w:snapToGrid w:val="0"/>
              <w:spacing w:before="65" w:line="240" w:lineRule="auto"/>
              <w:ind w:left="2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t</w:t>
            </w:r>
          </w:p>
        </w:tc>
        <w:tc>
          <w:tcPr>
            <w:tcW w:w="1232" w:type="dxa"/>
            <w:vAlign w:val="top"/>
          </w:tcPr>
          <w:p w14:paraId="55D8B8F4">
            <w:pPr>
              <w:framePr w:wrap="auto" w:vAnchor="margin" w:hAnchor="text" w:yAlign="inline"/>
              <w:kinsoku w:val="0"/>
              <w:autoSpaceDE w:val="0"/>
              <w:autoSpaceDN w:val="0"/>
              <w:adjustRightInd w:val="0"/>
              <w:snapToGrid w:val="0"/>
              <w:spacing w:before="81" w:line="239" w:lineRule="auto"/>
              <w:ind w:left="23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732.59</w:t>
            </w:r>
          </w:p>
        </w:tc>
        <w:tc>
          <w:tcPr>
            <w:tcW w:w="1678" w:type="dxa"/>
            <w:vAlign w:val="top"/>
          </w:tcPr>
          <w:p w14:paraId="17520BF5">
            <w:pPr>
              <w:framePr w:wrap="auto" w:vAnchor="margin" w:hAnchor="text" w:yAlign="inline"/>
              <w:kinsoku w:val="0"/>
              <w:autoSpaceDE w:val="0"/>
              <w:autoSpaceDN w:val="0"/>
              <w:adjustRightInd w:val="0"/>
              <w:snapToGrid w:val="0"/>
              <w:spacing w:before="81" w:line="240" w:lineRule="auto"/>
              <w:jc w:val="left"/>
              <w:textAlignment w:val="baseline"/>
              <w:rPr>
                <w:rFonts w:ascii="宋体" w:hAnsi="宋体" w:eastAsia="宋体" w:cs="宋体"/>
                <w:snapToGrid w:val="0"/>
                <w:color w:val="000000"/>
                <w:kern w:val="0"/>
                <w:sz w:val="24"/>
                <w:szCs w:val="24"/>
                <w:lang w:val="en-US" w:eastAsia="en-US" w:bidi="ar-SA"/>
              </w:rPr>
            </w:pPr>
          </w:p>
        </w:tc>
        <w:tc>
          <w:tcPr>
            <w:tcW w:w="1798" w:type="dxa"/>
            <w:vAlign w:val="top"/>
          </w:tcPr>
          <w:p w14:paraId="14230026">
            <w:pPr>
              <w:framePr w:wrap="auto" w:vAnchor="margin" w:hAnchor="text" w:yAlign="inline"/>
              <w:kinsoku w:val="0"/>
              <w:autoSpaceDE w:val="0"/>
              <w:autoSpaceDN w:val="0"/>
              <w:adjustRightInd w:val="0"/>
              <w:snapToGrid w:val="0"/>
              <w:spacing w:before="81" w:line="239" w:lineRule="auto"/>
              <w:ind w:right="17"/>
              <w:jc w:val="right"/>
              <w:textAlignment w:val="baseline"/>
              <w:rPr>
                <w:rFonts w:ascii="宋体" w:hAnsi="宋体" w:eastAsia="宋体" w:cs="宋体"/>
                <w:snapToGrid w:val="0"/>
                <w:color w:val="000000"/>
                <w:kern w:val="0"/>
                <w:sz w:val="24"/>
                <w:szCs w:val="24"/>
                <w:lang w:val="en-US" w:eastAsia="en-US" w:bidi="ar-SA"/>
              </w:rPr>
            </w:pPr>
          </w:p>
        </w:tc>
        <w:tc>
          <w:tcPr>
            <w:tcW w:w="1474" w:type="dxa"/>
            <w:vAlign w:val="top"/>
          </w:tcPr>
          <w:p w14:paraId="752678A1">
            <w:pPr>
              <w:framePr w:wrap="auto" w:vAnchor="margin" w:hAnchor="text" w:yAlign="inline"/>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rPr>
            </w:pPr>
          </w:p>
        </w:tc>
      </w:tr>
      <w:tr w14:paraId="3A2C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5386" w:type="dxa"/>
            <w:gridSpan w:val="5"/>
            <w:vAlign w:val="top"/>
          </w:tcPr>
          <w:p w14:paraId="4A3B2AFD">
            <w:pPr>
              <w:framePr w:wrap="auto" w:vAnchor="margin" w:hAnchor="text" w:yAlign="inline"/>
              <w:kinsoku w:val="0"/>
              <w:autoSpaceDE w:val="0"/>
              <w:autoSpaceDN w:val="0"/>
              <w:adjustRightInd w:val="0"/>
              <w:snapToGrid w:val="0"/>
              <w:spacing w:before="135" w:line="218" w:lineRule="auto"/>
              <w:ind w:left="18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不含税金额总价</w:t>
            </w:r>
          </w:p>
        </w:tc>
        <w:tc>
          <w:tcPr>
            <w:tcW w:w="1798" w:type="dxa"/>
            <w:vAlign w:val="top"/>
          </w:tcPr>
          <w:p w14:paraId="5BA55007">
            <w:pPr>
              <w:framePr w:wrap="auto" w:vAnchor="margin" w:hAnchor="text" w:yAlign="inline"/>
              <w:kinsoku w:val="0"/>
              <w:autoSpaceDE w:val="0"/>
              <w:autoSpaceDN w:val="0"/>
              <w:adjustRightInd w:val="0"/>
              <w:snapToGrid w:val="0"/>
              <w:spacing w:before="161" w:line="239" w:lineRule="auto"/>
              <w:ind w:right="3"/>
              <w:jc w:val="right"/>
              <w:textAlignment w:val="baseline"/>
              <w:rPr>
                <w:rFonts w:ascii="宋体" w:hAnsi="宋体" w:eastAsia="宋体" w:cs="宋体"/>
                <w:snapToGrid w:val="0"/>
                <w:color w:val="000000"/>
                <w:kern w:val="0"/>
                <w:sz w:val="24"/>
                <w:szCs w:val="24"/>
                <w:lang w:val="en-US" w:eastAsia="en-US" w:bidi="ar-SA"/>
              </w:rPr>
            </w:pPr>
          </w:p>
        </w:tc>
        <w:tc>
          <w:tcPr>
            <w:tcW w:w="1474" w:type="dxa"/>
            <w:vAlign w:val="top"/>
          </w:tcPr>
          <w:p w14:paraId="0F53B0C6">
            <w:pPr>
              <w:framePr w:wrap="auto" w:vAnchor="margin" w:hAnchor="text" w:yAlign="inline"/>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rPr>
            </w:pPr>
          </w:p>
        </w:tc>
      </w:tr>
      <w:tr w14:paraId="5D6AD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386" w:type="dxa"/>
            <w:gridSpan w:val="5"/>
            <w:vAlign w:val="top"/>
          </w:tcPr>
          <w:p w14:paraId="735FCDE5">
            <w:pPr>
              <w:framePr w:wrap="auto" w:vAnchor="margin" w:hAnchor="text" w:yAlign="inline"/>
              <w:kinsoku w:val="0"/>
              <w:autoSpaceDE w:val="0"/>
              <w:autoSpaceDN w:val="0"/>
              <w:adjustRightInd w:val="0"/>
              <w:snapToGrid w:val="0"/>
              <w:spacing w:before="158" w:line="219" w:lineRule="auto"/>
              <w:ind w:left="190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3"/>
                <w:kern w:val="0"/>
                <w:sz w:val="24"/>
                <w:szCs w:val="24"/>
                <w:lang w:val="en-US" w:eastAsia="en-US" w:bidi="ar-SA"/>
              </w:rPr>
              <w:t>增</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13"/>
                <w:kern w:val="0"/>
                <w:sz w:val="24"/>
                <w:szCs w:val="24"/>
                <w:lang w:val="en-US" w:eastAsia="en-US" w:bidi="ar-SA"/>
              </w:rPr>
              <w:t>值</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13"/>
                <w:kern w:val="0"/>
                <w:sz w:val="24"/>
                <w:szCs w:val="24"/>
                <w:lang w:val="en-US" w:eastAsia="en-US" w:bidi="ar-SA"/>
              </w:rPr>
              <w:t>税 (</w:t>
            </w:r>
            <w:r>
              <w:rPr>
                <w:rFonts w:ascii="宋体" w:hAnsi="宋体" w:eastAsia="宋体" w:cs="宋体"/>
                <w:snapToGrid w:val="0"/>
                <w:color w:val="000000"/>
                <w:spacing w:val="-41"/>
                <w:kern w:val="0"/>
                <w:sz w:val="24"/>
                <w:szCs w:val="24"/>
                <w:lang w:val="en-US" w:eastAsia="en-US" w:bidi="ar-SA"/>
              </w:rPr>
              <w:t xml:space="preserve"> </w:t>
            </w:r>
            <w:r>
              <w:rPr>
                <w:rFonts w:hint="eastAsia" w:ascii="宋体" w:hAnsi="宋体" w:eastAsia="宋体" w:cs="宋体"/>
                <w:snapToGrid w:val="0"/>
                <w:color w:val="000000"/>
                <w:spacing w:val="-13"/>
                <w:kern w:val="0"/>
                <w:sz w:val="24"/>
                <w:szCs w:val="24"/>
                <w:lang w:val="en-US" w:eastAsia="zh-CN" w:bidi="ar-SA"/>
              </w:rPr>
              <w:t xml:space="preserve">  </w:t>
            </w:r>
            <w:r>
              <w:rPr>
                <w:rFonts w:ascii="宋体" w:hAnsi="宋体" w:eastAsia="宋体" w:cs="宋体"/>
                <w:snapToGrid w:val="0"/>
                <w:color w:val="000000"/>
                <w:spacing w:val="-53"/>
                <w:kern w:val="0"/>
                <w:sz w:val="24"/>
                <w:szCs w:val="24"/>
                <w:lang w:val="en-US" w:eastAsia="en-US" w:bidi="ar-SA"/>
              </w:rPr>
              <w:t xml:space="preserve"> </w:t>
            </w:r>
            <w:r>
              <w:rPr>
                <w:rFonts w:ascii="宋体" w:hAnsi="宋体" w:eastAsia="宋体" w:cs="宋体"/>
                <w:snapToGrid w:val="0"/>
                <w:color w:val="000000"/>
                <w:spacing w:val="-13"/>
                <w:kern w:val="0"/>
                <w:sz w:val="24"/>
                <w:szCs w:val="24"/>
                <w:lang w:val="en-US" w:eastAsia="en-US" w:bidi="ar-SA"/>
              </w:rPr>
              <w:t>%</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13"/>
                <w:kern w:val="0"/>
                <w:sz w:val="24"/>
                <w:szCs w:val="24"/>
                <w:lang w:val="en-US" w:eastAsia="en-US" w:bidi="ar-SA"/>
              </w:rPr>
              <w:t>)</w:t>
            </w:r>
          </w:p>
        </w:tc>
        <w:tc>
          <w:tcPr>
            <w:tcW w:w="1798" w:type="dxa"/>
            <w:vAlign w:val="top"/>
          </w:tcPr>
          <w:p w14:paraId="593293CB">
            <w:pPr>
              <w:framePr w:wrap="auto" w:vAnchor="margin" w:hAnchor="text" w:yAlign="inline"/>
              <w:kinsoku w:val="0"/>
              <w:autoSpaceDE w:val="0"/>
              <w:autoSpaceDN w:val="0"/>
              <w:adjustRightInd w:val="0"/>
              <w:snapToGrid w:val="0"/>
              <w:spacing w:before="182" w:line="239" w:lineRule="auto"/>
              <w:ind w:right="5"/>
              <w:jc w:val="right"/>
              <w:textAlignment w:val="baseline"/>
              <w:rPr>
                <w:rFonts w:ascii="宋体" w:hAnsi="宋体" w:eastAsia="宋体" w:cs="宋体"/>
                <w:snapToGrid w:val="0"/>
                <w:color w:val="000000"/>
                <w:kern w:val="0"/>
                <w:sz w:val="24"/>
                <w:szCs w:val="24"/>
                <w:lang w:val="en-US" w:eastAsia="en-US" w:bidi="ar-SA"/>
              </w:rPr>
            </w:pPr>
          </w:p>
        </w:tc>
        <w:tc>
          <w:tcPr>
            <w:tcW w:w="1474" w:type="dxa"/>
            <w:vAlign w:val="top"/>
          </w:tcPr>
          <w:p w14:paraId="175410CF">
            <w:pPr>
              <w:framePr w:wrap="auto" w:vAnchor="margin" w:hAnchor="text" w:yAlign="inline"/>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rPr>
            </w:pPr>
          </w:p>
        </w:tc>
      </w:tr>
      <w:tr w14:paraId="7C9F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5386" w:type="dxa"/>
            <w:gridSpan w:val="5"/>
            <w:vAlign w:val="top"/>
          </w:tcPr>
          <w:p w14:paraId="2C1E755A">
            <w:pPr>
              <w:framePr w:wrap="auto" w:vAnchor="margin" w:hAnchor="text" w:yAlign="inline"/>
              <w:kinsoku w:val="0"/>
              <w:autoSpaceDE w:val="0"/>
              <w:autoSpaceDN w:val="0"/>
              <w:adjustRightInd w:val="0"/>
              <w:snapToGrid w:val="0"/>
              <w:spacing w:before="157" w:line="218" w:lineRule="auto"/>
              <w:ind w:left="195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含税金额总价</w:t>
            </w:r>
          </w:p>
        </w:tc>
        <w:tc>
          <w:tcPr>
            <w:tcW w:w="1798" w:type="dxa"/>
            <w:vAlign w:val="top"/>
          </w:tcPr>
          <w:p w14:paraId="779BF052">
            <w:pPr>
              <w:framePr w:wrap="auto" w:vAnchor="margin" w:hAnchor="text" w:yAlign="inline"/>
              <w:kinsoku w:val="0"/>
              <w:autoSpaceDE w:val="0"/>
              <w:autoSpaceDN w:val="0"/>
              <w:adjustRightInd w:val="0"/>
              <w:snapToGrid w:val="0"/>
              <w:spacing w:before="183" w:line="239" w:lineRule="auto"/>
              <w:ind w:right="3"/>
              <w:jc w:val="right"/>
              <w:textAlignment w:val="baseline"/>
              <w:rPr>
                <w:rFonts w:ascii="宋体" w:hAnsi="宋体" w:eastAsia="宋体" w:cs="宋体"/>
                <w:snapToGrid w:val="0"/>
                <w:color w:val="000000"/>
                <w:kern w:val="0"/>
                <w:sz w:val="24"/>
                <w:szCs w:val="24"/>
                <w:lang w:val="en-US" w:eastAsia="en-US" w:bidi="ar-SA"/>
              </w:rPr>
            </w:pPr>
          </w:p>
        </w:tc>
        <w:tc>
          <w:tcPr>
            <w:tcW w:w="1474" w:type="dxa"/>
            <w:vAlign w:val="top"/>
          </w:tcPr>
          <w:p w14:paraId="42F756C6">
            <w:pPr>
              <w:framePr w:wrap="auto" w:vAnchor="margin" w:hAnchor="text" w:yAlign="inline"/>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rPr>
            </w:pPr>
          </w:p>
        </w:tc>
      </w:tr>
    </w:tbl>
    <w:p w14:paraId="64F81F0E">
      <w:pPr>
        <w:framePr w:wrap="auto" w:vAnchor="margin" w:hAnchor="text" w:yAlign="in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按月进度支付，乙方于每月5日前申报上月整月到货量(附甲方指定人员签字确认的材料送货单及对账单)并提出付款申请，甲方收到乙方确认的完整的进度款 申请资料后，完成审核无误后支付当月审核额的100%。</w:t>
      </w:r>
    </w:p>
    <w:p w14:paraId="35C26EA9">
      <w:pPr>
        <w:framePr w:wrap="auto" w:vAnchor="margin" w:hAnchor="text" w:yAlign="inline"/>
        <w:rPr>
          <w:rFonts w:hint="eastAsia" w:ascii="宋体" w:hAnsi="宋体" w:eastAsia="宋体" w:cs="宋体"/>
          <w:color w:val="auto"/>
          <w:sz w:val="20"/>
          <w:szCs w:val="20"/>
          <w:highlight w:val="none"/>
          <w:lang w:eastAsia="zh-CN"/>
        </w:rPr>
      </w:pPr>
      <w:r>
        <w:rPr>
          <w:rFonts w:hint="eastAsia" w:ascii="宋体" w:hAnsi="宋体" w:eastAsia="宋体" w:cs="宋体"/>
          <w:color w:val="auto"/>
          <w:sz w:val="28"/>
          <w:szCs w:val="28"/>
          <w:highlight w:val="none"/>
          <w:lang w:eastAsia="zh-CN"/>
        </w:rPr>
        <w:t>如实际送货金额超过合同总价的5%,则乙方须在送货前向甲方书面申请签订补充协议，若没有签订补充协议，甲方有权拒绝支付超出原合同送货材料款，乙方不 得以此为由向甲方主张付款违约的责任。</w:t>
      </w:r>
      <w:r>
        <w:rPr>
          <w:rFonts w:hint="eastAsia" w:ascii="宋体" w:hAnsi="宋体" w:eastAsia="宋体" w:cs="宋体"/>
          <w:color w:val="auto"/>
          <w:sz w:val="20"/>
          <w:szCs w:val="20"/>
          <w:highlight w:val="none"/>
          <w:lang w:eastAsia="zh-CN"/>
        </w:rPr>
        <w:br w:type="page"/>
      </w:r>
    </w:p>
    <w:p w14:paraId="40D62C43">
      <w:pPr>
        <w:keepNext w:val="0"/>
        <w:keepLines/>
        <w:pageBreakBefore w:val="0"/>
        <w:framePr w:wrap="auto" w:vAnchor="margin" w:hAnchor="text" w:yAlign="inline"/>
        <w:widowControl/>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17" w:name="_Toc6698"/>
      <w:bookmarkStart w:id="18" w:name="_Toc10231"/>
      <w:r>
        <w:rPr>
          <w:rFonts w:hint="eastAsia" w:ascii="宋体" w:hAnsi="宋体" w:eastAsia="宋体" w:cs="宋体"/>
          <w:b/>
          <w:bCs/>
          <w:color w:val="auto"/>
          <w:sz w:val="32"/>
          <w:szCs w:val="32"/>
          <w:highlight w:val="none"/>
          <w:lang w:val="en-US" w:eastAsia="zh-CN"/>
        </w:rPr>
        <w:t>第四部分  评选办法</w:t>
      </w:r>
      <w:bookmarkEnd w:id="17"/>
      <w:bookmarkEnd w:id="18"/>
    </w:p>
    <w:p w14:paraId="4E3EE267">
      <w:pPr>
        <w:framePr w:wrap="auto" w:vAnchor="margin" w:hAnchor="text" w:yAlign="inline"/>
        <w:numPr>
          <w:ilvl w:val="0"/>
          <w:numId w:val="0"/>
        </w:numPr>
        <w:adjustRightInd w:val="0"/>
        <w:snapToGrid w:val="0"/>
        <w:spacing w:line="360" w:lineRule="auto"/>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本次</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采用</w:t>
      </w:r>
      <w:r>
        <w:rPr>
          <w:rFonts w:hint="eastAsia" w:ascii="宋体" w:hAnsi="宋体" w:eastAsia="宋体" w:cs="宋体"/>
          <w:color w:val="auto"/>
          <w:sz w:val="28"/>
          <w:szCs w:val="28"/>
          <w:highlight w:val="none"/>
          <w:lang w:eastAsia="zh-CN"/>
        </w:rPr>
        <w:t>：</w:t>
      </w:r>
    </w:p>
    <w:p w14:paraId="26728118">
      <w:pPr>
        <w:framePr w:wrap="auto" w:vAnchor="margin" w:hAnchor="text" w:yAlign="inline"/>
        <w:adjustRightInd w:val="0"/>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最低价成交法</w:t>
      </w:r>
      <w:r>
        <w:rPr>
          <w:rFonts w:hint="eastAsia" w:ascii="宋体" w:hAnsi="宋体" w:eastAsia="宋体" w:cs="宋体"/>
          <w:color w:val="auto"/>
          <w:sz w:val="28"/>
          <w:szCs w:val="28"/>
          <w:highlight w:val="none"/>
          <w:lang w:eastAsia="zh-CN"/>
        </w:rPr>
        <w:t>。</w:t>
      </w:r>
    </w:p>
    <w:p w14:paraId="07C2EF72">
      <w:pPr>
        <w:framePr w:wrap="auto" w:vAnchor="margin" w:hAnchor="text" w:yAlign="inline"/>
        <w:adjustRightInd w:val="0"/>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rPr>
        <w:t>最低价成交法</w:t>
      </w:r>
      <w:r>
        <w:rPr>
          <w:rFonts w:hint="eastAsia" w:ascii="宋体" w:hAnsi="宋体" w:eastAsia="宋体" w:cs="宋体"/>
          <w:color w:val="auto"/>
          <w:sz w:val="28"/>
          <w:szCs w:val="28"/>
          <w:highlight w:val="none"/>
          <w:lang w:eastAsia="zh-CN"/>
        </w:rPr>
        <w:t>，是指</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eastAsia="zh-CN"/>
        </w:rPr>
        <w:t>文件满足竞价文件全部实质性要求，且报价最低的</w:t>
      </w:r>
      <w:r>
        <w:rPr>
          <w:rFonts w:hint="eastAsia" w:ascii="宋体" w:hAnsi="宋体" w:eastAsia="宋体" w:cs="宋体"/>
          <w:color w:val="auto"/>
          <w:sz w:val="28"/>
          <w:szCs w:val="28"/>
          <w:highlight w:val="none"/>
          <w:lang w:val="en-US" w:eastAsia="zh-CN"/>
        </w:rPr>
        <w:t>响应人</w:t>
      </w:r>
      <w:r>
        <w:rPr>
          <w:rFonts w:hint="eastAsia" w:ascii="宋体" w:hAnsi="宋体" w:eastAsia="宋体" w:cs="宋体"/>
          <w:color w:val="auto"/>
          <w:sz w:val="28"/>
          <w:szCs w:val="28"/>
          <w:highlight w:val="none"/>
          <w:lang w:eastAsia="zh-CN"/>
        </w:rPr>
        <w:t>为中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候选人的评标方法。</w:t>
      </w:r>
    </w:p>
    <w:p w14:paraId="47FAD430">
      <w:pPr>
        <w:framePr w:wrap="auto" w:vAnchor="margin" w:hAnchor="text" w:yAlign="inline"/>
        <w:adjustRightInd w:val="0"/>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2)评选步骤：</w:t>
      </w:r>
    </w:p>
    <w:p w14:paraId="4BED4A50">
      <w:pPr>
        <w:framePr w:wrap="auto" w:vAnchor="margin" w:hAnchor="text" w:yAlign="inline"/>
        <w:adjustRightInd w:val="0"/>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①资格</w:t>
      </w:r>
      <w:r>
        <w:rPr>
          <w:rFonts w:hint="eastAsia" w:ascii="宋体" w:hAnsi="宋体" w:eastAsia="宋体" w:cs="宋体"/>
          <w:color w:val="auto"/>
          <w:sz w:val="28"/>
          <w:szCs w:val="28"/>
          <w:highlight w:val="none"/>
          <w:lang w:val="en-US" w:eastAsia="zh-CN"/>
        </w:rPr>
        <w:t>符合</w:t>
      </w:r>
      <w:r>
        <w:rPr>
          <w:rFonts w:hint="eastAsia" w:ascii="宋体" w:hAnsi="宋体" w:eastAsia="宋体" w:cs="宋体"/>
          <w:color w:val="auto"/>
          <w:sz w:val="28"/>
          <w:szCs w:val="28"/>
          <w:highlight w:val="none"/>
          <w:lang w:eastAsia="zh-CN"/>
        </w:rPr>
        <w:t>性审查：开标结束后，采购人或者采购代理机构应当依法对响应人的响应文件进行</w:t>
      </w:r>
      <w:r>
        <w:rPr>
          <w:rFonts w:hint="eastAsia" w:ascii="宋体" w:hAnsi="宋体" w:eastAsia="宋体" w:cs="宋体"/>
          <w:color w:val="auto"/>
          <w:sz w:val="28"/>
          <w:szCs w:val="28"/>
          <w:highlight w:val="none"/>
          <w:lang w:val="en-US" w:eastAsia="zh-CN"/>
        </w:rPr>
        <w:t>资格符合</w:t>
      </w:r>
      <w:r>
        <w:rPr>
          <w:rFonts w:hint="eastAsia" w:ascii="宋体" w:hAnsi="宋体" w:eastAsia="宋体" w:cs="宋体"/>
          <w:color w:val="auto"/>
          <w:sz w:val="28"/>
          <w:szCs w:val="28"/>
          <w:highlight w:val="none"/>
          <w:lang w:eastAsia="zh-CN"/>
        </w:rPr>
        <w:t>性审查，以确定其是否满足竞价文件的实质性要求。未通过</w:t>
      </w:r>
      <w:r>
        <w:rPr>
          <w:rFonts w:hint="eastAsia" w:ascii="宋体" w:hAnsi="宋体" w:eastAsia="宋体" w:cs="宋体"/>
          <w:color w:val="auto"/>
          <w:sz w:val="28"/>
          <w:szCs w:val="28"/>
          <w:highlight w:val="none"/>
          <w:lang w:val="en-US" w:eastAsia="zh-CN"/>
        </w:rPr>
        <w:t>资格</w:t>
      </w:r>
      <w:r>
        <w:rPr>
          <w:rFonts w:hint="eastAsia" w:ascii="宋体" w:hAnsi="宋体" w:eastAsia="宋体" w:cs="宋体"/>
          <w:color w:val="auto"/>
          <w:sz w:val="28"/>
          <w:szCs w:val="28"/>
          <w:highlight w:val="none"/>
          <w:lang w:eastAsia="zh-CN"/>
        </w:rPr>
        <w:t>符合性审查的响应人，不进入价格评审。</w:t>
      </w:r>
    </w:p>
    <w:p w14:paraId="024721AA">
      <w:pPr>
        <w:framePr w:wrap="auto" w:vAnchor="margin" w:hAnchor="text" w:yAlign="inline"/>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w:t>
      </w:r>
      <w:r>
        <w:rPr>
          <w:rFonts w:hint="eastAsia" w:ascii="宋体" w:hAnsi="宋体" w:eastAsia="宋体" w:cs="宋体"/>
          <w:color w:val="auto"/>
          <w:sz w:val="28"/>
          <w:szCs w:val="28"/>
          <w:highlight w:val="none"/>
          <w:lang w:eastAsia="zh-CN"/>
        </w:rPr>
        <w:t>价格评审：评</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结果按报价由低到高顺序排列。报价相同的并列，中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候选人并列的，由采购人采取</w:t>
      </w:r>
      <w:r>
        <w:rPr>
          <w:rFonts w:hint="eastAsia" w:ascii="宋体" w:hAnsi="宋体" w:eastAsia="宋体" w:cs="宋体"/>
          <w:color w:val="auto"/>
          <w:sz w:val="28"/>
          <w:szCs w:val="28"/>
          <w:highlight w:val="none"/>
          <w:lang w:val="en-US" w:eastAsia="zh-CN"/>
        </w:rPr>
        <w:t>随机抽取方式</w:t>
      </w:r>
      <w:r>
        <w:rPr>
          <w:rFonts w:hint="eastAsia" w:ascii="宋体" w:hAnsi="宋体" w:eastAsia="宋体" w:cs="宋体"/>
          <w:color w:val="auto"/>
          <w:sz w:val="28"/>
          <w:szCs w:val="28"/>
          <w:highlight w:val="none"/>
          <w:lang w:eastAsia="zh-CN"/>
        </w:rPr>
        <w:t>确定中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人。</w:t>
      </w:r>
    </w:p>
    <w:p w14:paraId="5789D5BC">
      <w:pPr>
        <w:framePr w:wrap="auto" w:vAnchor="margin" w:hAnchor="text" w:yAlign="inline"/>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2、□综合评估法。具体标准如下：</w:t>
      </w:r>
      <w:r>
        <w:rPr>
          <w:rFonts w:hint="eastAsia" w:ascii="宋体" w:hAnsi="宋体" w:eastAsia="宋体" w:cs="宋体"/>
          <w:color w:val="auto"/>
          <w:sz w:val="28"/>
          <w:szCs w:val="28"/>
          <w:highlight w:val="none"/>
          <w:lang w:val="en-US" w:eastAsia="zh-CN"/>
        </w:rPr>
        <w:t>/</w:t>
      </w:r>
    </w:p>
    <w:p w14:paraId="2BB3F338">
      <w:pPr>
        <w:framePr w:wrap="auto" w:vAnchor="margin" w:hAnchor="text" w:yAlign="inline"/>
        <w:adjustRightInd w:val="0"/>
        <w:snapToGrid w:val="0"/>
        <w:spacing w:line="360" w:lineRule="auto"/>
        <w:ind w:firstLine="560" w:firstLineChars="200"/>
        <w:jc w:val="left"/>
        <w:rPr>
          <w:rFonts w:hint="eastAsia" w:ascii="宋体" w:hAnsi="宋体" w:eastAsia="宋体" w:cs="宋体"/>
          <w:color w:val="auto"/>
          <w:sz w:val="28"/>
          <w:szCs w:val="28"/>
          <w:highlight w:val="none"/>
          <w:lang w:eastAsia="zh-CN"/>
        </w:rPr>
      </w:pPr>
    </w:p>
    <w:p w14:paraId="1F85AF6F">
      <w:pPr>
        <w:pStyle w:val="31"/>
        <w:framePr w:wrap="auto" w:vAnchor="margin" w:hAnchor="text" w:yAlign="inline"/>
        <w:wordWrap w:val="0"/>
        <w:spacing w:line="440" w:lineRule="exact"/>
        <w:jc w:val="left"/>
        <w:rPr>
          <w:rFonts w:hint="eastAsia" w:ascii="宋体" w:hAnsi="宋体" w:eastAsia="宋体" w:cs="宋体"/>
          <w:b/>
          <w:bCs/>
          <w:color w:val="auto"/>
          <w:sz w:val="32"/>
          <w:szCs w:val="32"/>
          <w:highlight w:val="none"/>
        </w:rPr>
      </w:pPr>
    </w:p>
    <w:p w14:paraId="30DB63C0">
      <w:pPr>
        <w:pStyle w:val="5"/>
        <w:wordWrap w:val="0"/>
        <w:jc w:val="left"/>
        <w:rPr>
          <w:rFonts w:hint="eastAsia" w:ascii="宋体" w:hAnsi="宋体" w:eastAsia="宋体" w:cs="宋体"/>
          <w:b/>
          <w:color w:val="auto"/>
          <w:szCs w:val="24"/>
          <w:highlight w:val="none"/>
          <w:lang w:eastAsia="zh-CN"/>
        </w:rPr>
        <w:sectPr>
          <w:pgSz w:w="11900" w:h="16840"/>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0" w:charSpace="0"/>
        </w:sectPr>
      </w:pPr>
    </w:p>
    <w:p w14:paraId="57F19789">
      <w:pPr>
        <w:keepNext w:val="0"/>
        <w:keepLines/>
        <w:pageBreakBefore w:val="0"/>
        <w:framePr w:wrap="auto" w:vAnchor="margin" w:hAnchor="text" w:yAlign="inline"/>
        <w:widowControl/>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19" w:name="_Toc25557"/>
      <w:bookmarkStart w:id="20" w:name="_Toc1675"/>
      <w:r>
        <w:rPr>
          <w:rFonts w:hint="eastAsia" w:ascii="宋体" w:hAnsi="宋体" w:eastAsia="宋体" w:cs="宋体"/>
          <w:b/>
          <w:bCs/>
          <w:color w:val="auto"/>
          <w:sz w:val="32"/>
          <w:szCs w:val="32"/>
          <w:highlight w:val="none"/>
          <w:lang w:val="en-US" w:eastAsia="zh-CN"/>
        </w:rPr>
        <w:t>第五部分  合同主要条款</w:t>
      </w:r>
      <w:bookmarkEnd w:id="19"/>
      <w:bookmarkEnd w:id="20"/>
    </w:p>
    <w:p w14:paraId="118D9778">
      <w:pPr>
        <w:framePr w:wrap="auto" w:vAnchor="margin" w:hAnchor="text" w:yAlign="inline"/>
        <w:widowControl w:val="0"/>
        <w:jc w:val="center"/>
        <w:rPr>
          <w:rFonts w:hint="eastAsia" w:ascii="仿宋" w:hAnsi="仿宋" w:eastAsia="仿宋" w:cs="仿宋"/>
          <w:b/>
          <w:kern w:val="0"/>
          <w:sz w:val="36"/>
          <w:szCs w:val="36"/>
          <w:lang w:eastAsia="zh-CN"/>
        </w:rPr>
      </w:pPr>
      <w:bookmarkStart w:id="21" w:name="_Toc16641"/>
      <w:r>
        <w:rPr>
          <w:rFonts w:hint="eastAsia" w:ascii="仿宋" w:hAnsi="仿宋" w:eastAsia="仿宋" w:cs="仿宋"/>
          <w:b/>
          <w:kern w:val="0"/>
          <w:sz w:val="36"/>
          <w:szCs w:val="36"/>
          <w:u w:val="none"/>
          <w:lang w:eastAsia="zh-CN"/>
        </w:rPr>
        <w:t>阻锈剂防腐剂</w:t>
      </w:r>
      <w:r>
        <w:rPr>
          <w:rFonts w:hint="eastAsia" w:ascii="仿宋" w:hAnsi="仿宋" w:eastAsia="仿宋" w:cs="仿宋"/>
          <w:b/>
          <w:kern w:val="0"/>
          <w:sz w:val="36"/>
          <w:szCs w:val="36"/>
          <w:lang w:eastAsia="zh-CN"/>
        </w:rPr>
        <w:t>材料采购合同</w:t>
      </w:r>
    </w:p>
    <w:p w14:paraId="5BFE7EE4">
      <w:pPr>
        <w:framePr w:wrap="auto" w:vAnchor="margin" w:hAnchor="text" w:yAlign="inline"/>
        <w:widowControl/>
        <w:shd w:val="clear" w:color="auto" w:fill="FFFFFF"/>
        <w:spacing w:line="360" w:lineRule="auto"/>
        <w:jc w:val="right"/>
        <w:rPr>
          <w:rFonts w:hint="eastAsia" w:ascii="仿宋" w:hAnsi="仿宋" w:eastAsia="仿宋" w:cs="仿宋"/>
          <w:kern w:val="0"/>
          <w:sz w:val="24"/>
          <w:lang w:eastAsia="zh-CN"/>
        </w:rPr>
      </w:pPr>
      <w:r>
        <w:rPr>
          <w:rFonts w:hint="eastAsia" w:ascii="仿宋" w:hAnsi="仿宋" w:eastAsia="仿宋" w:cs="仿宋"/>
          <w:kern w:val="0"/>
          <w:sz w:val="24"/>
          <w:lang w:eastAsia="zh-CN"/>
        </w:rPr>
        <w:t xml:space="preserve">合同编号：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 xml:space="preserve">                </w:t>
      </w:r>
    </w:p>
    <w:p w14:paraId="2374E3C2">
      <w:pPr>
        <w:framePr w:wrap="auto" w:vAnchor="margin" w:hAnchor="text" w:yAlign="inline"/>
        <w:widowControl/>
        <w:shd w:val="clear" w:color="auto" w:fill="FFFFFF"/>
        <w:spacing w:line="360" w:lineRule="auto"/>
        <w:jc w:val="left"/>
        <w:rPr>
          <w:rFonts w:hint="eastAsia" w:ascii="仿宋" w:hAnsi="仿宋" w:eastAsia="仿宋" w:cs="仿宋"/>
          <w:kern w:val="0"/>
          <w:sz w:val="24"/>
          <w:lang w:eastAsia="zh-CN"/>
        </w:rPr>
      </w:pPr>
      <w:r>
        <w:rPr>
          <w:rFonts w:hint="eastAsia" w:ascii="仿宋" w:hAnsi="仿宋" w:eastAsia="仿宋" w:cs="仿宋"/>
          <w:kern w:val="0"/>
          <w:sz w:val="24"/>
          <w:lang w:eastAsia="zh-CN"/>
        </w:rPr>
        <w:t>甲方（采购方）：</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lang w:eastAsia="zh-CN"/>
        </w:rPr>
        <w:t xml:space="preserve">  </w:t>
      </w:r>
      <w:r>
        <w:rPr>
          <w:rFonts w:hint="eastAsia" w:ascii="仿宋" w:hAnsi="仿宋" w:eastAsia="仿宋" w:cs="仿宋"/>
          <w:kern w:val="0"/>
          <w:sz w:val="24"/>
          <w:lang w:eastAsia="zh-CN"/>
        </w:rPr>
        <w:t xml:space="preserve">               </w:t>
      </w:r>
    </w:p>
    <w:p w14:paraId="2EDFD3C9">
      <w:pPr>
        <w:framePr w:wrap="auto" w:vAnchor="margin" w:hAnchor="text" w:yAlign="inline"/>
        <w:widowControl/>
        <w:shd w:val="clear" w:color="auto" w:fill="FFFFFF"/>
        <w:spacing w:line="360" w:lineRule="auto"/>
        <w:jc w:val="left"/>
        <w:rPr>
          <w:rFonts w:hint="eastAsia" w:ascii="仿宋" w:hAnsi="仿宋" w:eastAsia="仿宋" w:cs="仿宋"/>
          <w:bCs/>
          <w:kern w:val="0"/>
          <w:sz w:val="24"/>
          <w:lang w:eastAsia="zh-CN"/>
        </w:rPr>
      </w:pPr>
      <w:r>
        <w:rPr>
          <w:rFonts w:hint="eastAsia" w:ascii="仿宋" w:hAnsi="仿宋" w:eastAsia="仿宋" w:cs="仿宋"/>
          <w:kern w:val="0"/>
          <w:sz w:val="24"/>
          <w:lang w:eastAsia="zh-CN"/>
        </w:rPr>
        <w:t>乙方（供货方）：</w:t>
      </w:r>
      <w:r>
        <w:rPr>
          <w:rFonts w:hint="eastAsia" w:ascii="仿宋" w:hAnsi="仿宋" w:eastAsia="仿宋" w:cs="仿宋"/>
          <w:kern w:val="0"/>
          <w:sz w:val="24"/>
          <w:u w:val="single"/>
          <w:lang w:val="en-US" w:eastAsia="zh-CN"/>
        </w:rPr>
        <w:t xml:space="preserve">                     </w:t>
      </w:r>
      <w:r>
        <w:rPr>
          <w:rFonts w:hint="eastAsia" w:ascii="仿宋" w:hAnsi="仿宋" w:eastAsia="仿宋" w:cs="Times New Roman"/>
          <w:color w:val="auto"/>
          <w:kern w:val="2"/>
          <w:sz w:val="24"/>
          <w:szCs w:val="24"/>
          <w:highlight w:val="none"/>
          <w:u w:val="single"/>
          <w:lang w:val="en-US" w:eastAsia="zh-CN"/>
        </w:rPr>
        <w:t xml:space="preserve">  </w:t>
      </w:r>
    </w:p>
    <w:p w14:paraId="728A6094">
      <w:pPr>
        <w:framePr w:wrap="auto" w:vAnchor="margin" w:hAnchor="text" w:yAlign="inline"/>
        <w:widowControl/>
        <w:shd w:val="clear" w:color="auto" w:fill="FFFFFF"/>
        <w:spacing w:line="360" w:lineRule="auto"/>
        <w:ind w:firstLine="480" w:firstLineChars="200"/>
        <w:jc w:val="left"/>
        <w:rPr>
          <w:rFonts w:hint="eastAsia" w:ascii="仿宋" w:hAnsi="仿宋" w:eastAsia="仿宋" w:cs="仿宋"/>
          <w:b/>
          <w:kern w:val="0"/>
          <w:sz w:val="24"/>
          <w:lang w:eastAsia="zh-CN"/>
        </w:rPr>
      </w:pPr>
      <w:r>
        <w:rPr>
          <w:rFonts w:hint="eastAsia" w:ascii="仿宋" w:hAnsi="仿宋" w:eastAsia="仿宋" w:cs="仿宋"/>
          <w:kern w:val="0"/>
          <w:sz w:val="24"/>
          <w:lang w:eastAsia="zh-CN"/>
        </w:rPr>
        <w:t>根据《中华人民共和国民法典》及相关法律法规的规定，遵循平等、自愿和诚实信用的原则，甲、乙双方就甲方向乙方采购</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lang w:eastAsia="zh-CN"/>
        </w:rPr>
        <w:t>的各项条件协商一致，订立本合同，以资共同遵守：</w:t>
      </w:r>
    </w:p>
    <w:p w14:paraId="2B8FAB90">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b w:val="0"/>
          <w:bCs w:val="0"/>
          <w:kern w:val="2"/>
          <w:sz w:val="24"/>
          <w:highlight w:val="yellow"/>
          <w:lang w:val="en-US" w:eastAsia="zh-CN"/>
        </w:rPr>
      </w:pPr>
      <w:r>
        <w:rPr>
          <w:rFonts w:hint="eastAsia" w:ascii="仿宋" w:hAnsi="仿宋" w:eastAsia="仿宋" w:cs="仿宋"/>
          <w:b/>
          <w:kern w:val="0"/>
          <w:sz w:val="24"/>
          <w:lang w:eastAsia="zh-CN"/>
        </w:rPr>
        <w:t>第一条 材料名称、规格、数量、单价、金额</w:t>
      </w:r>
    </w:p>
    <w:tbl>
      <w:tblPr>
        <w:tblStyle w:val="19"/>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
        <w:gridCol w:w="1678"/>
        <w:gridCol w:w="762"/>
        <w:gridCol w:w="1600"/>
        <w:gridCol w:w="1675"/>
        <w:gridCol w:w="1688"/>
        <w:gridCol w:w="1175"/>
      </w:tblGrid>
      <w:tr w14:paraId="6814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0125F846">
            <w:pPr>
              <w:keepNext w:val="0"/>
              <w:keepLines w:val="0"/>
              <w:framePr w:wrap="auto" w:vAnchor="margin" w:hAnchor="text" w:yAlign="inline"/>
              <w:widowControl/>
              <w:suppressLineNumbers w:val="0"/>
              <w:jc w:val="center"/>
              <w:textAlignment w:val="center"/>
              <w:rPr>
                <w:rFonts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5B171DB2">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材料名称</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25E009E">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单位</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A144E34">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数量</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7487E86">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不含增值税</w:t>
            </w:r>
          </w:p>
          <w:p w14:paraId="7E34A940">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单价（元）</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911616C">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不含增值税</w:t>
            </w:r>
          </w:p>
          <w:p w14:paraId="49B2B40A">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金额（元）</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5B71B32">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备注</w:t>
            </w:r>
          </w:p>
        </w:tc>
      </w:tr>
      <w:tr w14:paraId="6FEA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3FAA02A9">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13256F9">
            <w:pPr>
              <w:keepNext w:val="0"/>
              <w:keepLines w:val="0"/>
              <w:framePr w:wrap="auto" w:vAnchor="margin" w:hAnchor="text" w:yAlign="inline"/>
              <w:widowControl/>
              <w:suppressLineNumbers w:val="0"/>
              <w:jc w:val="left"/>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阻锈剂</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1091B70">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t</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487997D">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457.87</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E1588F9">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422CDBF">
            <w:pPr>
              <w:keepNext w:val="0"/>
              <w:keepLines w:val="0"/>
              <w:framePr w:wrap="auto" w:vAnchor="margin" w:hAnchor="text" w:yAlign="inline"/>
              <w:widowControl/>
              <w:suppressLineNumbers w:val="0"/>
              <w:jc w:val="left"/>
              <w:textAlignment w:val="center"/>
              <w:rPr>
                <w:rFonts w:hint="eastAsia" w:ascii="仿宋" w:hAnsi="仿宋" w:eastAsia="仿宋" w:cs="仿宋"/>
                <w:i w:val="0"/>
                <w:iCs w:val="0"/>
                <w:color w:val="000000"/>
                <w:kern w:val="2"/>
                <w:sz w:val="24"/>
                <w:szCs w:val="24"/>
                <w:u w:val="none"/>
                <w:lang w:eastAsia="zh-CN"/>
              </w:rPr>
            </w:pPr>
          </w:p>
        </w:tc>
        <w:tc>
          <w:tcPr>
            <w:tcW w:w="1175" w:type="dxa"/>
            <w:tcBorders>
              <w:top w:val="single" w:color="000000" w:sz="4" w:space="0"/>
              <w:left w:val="single" w:color="000000" w:sz="4" w:space="0"/>
              <w:bottom w:val="single" w:color="000000" w:sz="4" w:space="0"/>
              <w:right w:val="single" w:color="000000" w:sz="4" w:space="0"/>
            </w:tcBorders>
            <w:noWrap w:val="0"/>
            <w:vAlign w:val="bottom"/>
          </w:tcPr>
          <w:p w14:paraId="40F061ED">
            <w:pPr>
              <w:framePr w:wrap="auto" w:vAnchor="margin" w:hAnchor="text" w:yAlign="inline"/>
              <w:widowControl w:val="0"/>
              <w:jc w:val="left"/>
              <w:rPr>
                <w:rFonts w:hint="eastAsia" w:ascii="仿宋" w:hAnsi="仿宋" w:eastAsia="仿宋" w:cs="仿宋"/>
                <w:i w:val="0"/>
                <w:iCs w:val="0"/>
                <w:color w:val="000000"/>
                <w:kern w:val="2"/>
                <w:sz w:val="24"/>
                <w:szCs w:val="24"/>
                <w:u w:val="none"/>
                <w:lang w:eastAsia="zh-CN"/>
              </w:rPr>
            </w:pPr>
          </w:p>
        </w:tc>
      </w:tr>
      <w:tr w14:paraId="4C78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88" w:type="dxa"/>
            <w:tcBorders>
              <w:top w:val="single" w:color="000000" w:sz="4" w:space="0"/>
              <w:left w:val="single" w:color="000000" w:sz="4" w:space="0"/>
              <w:bottom w:val="single" w:color="000000" w:sz="4" w:space="0"/>
              <w:right w:val="single" w:color="000000" w:sz="4" w:space="0"/>
            </w:tcBorders>
            <w:noWrap w:val="0"/>
            <w:vAlign w:val="center"/>
          </w:tcPr>
          <w:p w14:paraId="3E2D7D27">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0723064A">
            <w:pPr>
              <w:keepNext w:val="0"/>
              <w:keepLines w:val="0"/>
              <w:framePr w:wrap="auto" w:vAnchor="margin" w:hAnchor="text" w:yAlign="inline"/>
              <w:widowControl/>
              <w:suppressLineNumbers w:val="0"/>
              <w:jc w:val="left"/>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抗侵蚀防腐剂</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5FE0E8F">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t</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393BB87">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r>
              <w:rPr>
                <w:rFonts w:hint="eastAsia" w:ascii="仿宋" w:hAnsi="仿宋" w:eastAsia="仿宋" w:cs="仿宋"/>
                <w:i w:val="0"/>
                <w:iCs w:val="0"/>
                <w:color w:val="000000"/>
                <w:kern w:val="0"/>
                <w:sz w:val="24"/>
                <w:szCs w:val="24"/>
                <w:u w:val="none"/>
                <w:lang w:val="en-US" w:eastAsia="zh-CN" w:bidi="ar"/>
              </w:rPr>
              <w:t>732.59</w:t>
            </w: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76DB93F">
            <w:pPr>
              <w:keepNext w:val="0"/>
              <w:keepLines w:val="0"/>
              <w:framePr w:wrap="auto" w:vAnchor="margin" w:hAnchor="text" w:yAlign="inline"/>
              <w:widowControl/>
              <w:suppressLineNumbers w:val="0"/>
              <w:jc w:val="center"/>
              <w:textAlignment w:val="center"/>
              <w:rPr>
                <w:rFonts w:hint="eastAsia" w:ascii="仿宋" w:hAnsi="仿宋" w:eastAsia="仿宋" w:cs="仿宋"/>
                <w:i w:val="0"/>
                <w:iCs w:val="0"/>
                <w:color w:val="000000"/>
                <w:kern w:val="2"/>
                <w:sz w:val="24"/>
                <w:szCs w:val="24"/>
                <w:u w:val="none"/>
                <w:lang w:eastAsia="zh-CN"/>
              </w:rPr>
            </w:pP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1CD0764">
            <w:pPr>
              <w:keepNext w:val="0"/>
              <w:keepLines w:val="0"/>
              <w:framePr w:wrap="auto" w:vAnchor="margin" w:hAnchor="text" w:yAlign="inline"/>
              <w:widowControl/>
              <w:suppressLineNumbers w:val="0"/>
              <w:jc w:val="left"/>
              <w:textAlignment w:val="center"/>
              <w:rPr>
                <w:rFonts w:hint="eastAsia" w:ascii="仿宋" w:hAnsi="仿宋" w:eastAsia="仿宋" w:cs="仿宋"/>
                <w:i w:val="0"/>
                <w:iCs w:val="0"/>
                <w:color w:val="000000"/>
                <w:kern w:val="2"/>
                <w:sz w:val="24"/>
                <w:szCs w:val="24"/>
                <w:u w:val="none"/>
                <w:lang w:eastAsia="zh-CN"/>
              </w:rPr>
            </w:pPr>
          </w:p>
        </w:tc>
        <w:tc>
          <w:tcPr>
            <w:tcW w:w="1175" w:type="dxa"/>
            <w:tcBorders>
              <w:top w:val="single" w:color="000000" w:sz="4" w:space="0"/>
              <w:left w:val="single" w:color="000000" w:sz="4" w:space="0"/>
              <w:bottom w:val="single" w:color="000000" w:sz="4" w:space="0"/>
              <w:right w:val="single" w:color="000000" w:sz="4" w:space="0"/>
            </w:tcBorders>
            <w:noWrap w:val="0"/>
            <w:vAlign w:val="bottom"/>
          </w:tcPr>
          <w:p w14:paraId="00F611B3">
            <w:pPr>
              <w:framePr w:wrap="auto" w:vAnchor="margin" w:hAnchor="text" w:yAlign="inline"/>
              <w:widowControl w:val="0"/>
              <w:jc w:val="left"/>
              <w:rPr>
                <w:rFonts w:hint="eastAsia" w:ascii="仿宋" w:hAnsi="仿宋" w:eastAsia="仿宋" w:cs="仿宋"/>
                <w:i w:val="0"/>
                <w:iCs w:val="0"/>
                <w:color w:val="000000"/>
                <w:kern w:val="2"/>
                <w:sz w:val="24"/>
                <w:szCs w:val="24"/>
                <w:u w:val="none"/>
                <w:lang w:eastAsia="zh-CN"/>
              </w:rPr>
            </w:pPr>
          </w:p>
        </w:tc>
      </w:tr>
      <w:tr w14:paraId="4CEE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203" w:type="dxa"/>
            <w:gridSpan w:val="5"/>
            <w:tcBorders>
              <w:top w:val="single" w:color="000000" w:sz="4" w:space="0"/>
              <w:left w:val="single" w:color="000000" w:sz="4" w:space="0"/>
              <w:bottom w:val="single" w:color="000000" w:sz="4" w:space="0"/>
              <w:right w:val="single" w:color="000000" w:sz="4" w:space="0"/>
            </w:tcBorders>
            <w:noWrap w:val="0"/>
            <w:vAlign w:val="center"/>
          </w:tcPr>
          <w:p w14:paraId="63F347AE">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不含税金额总价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7257C05">
            <w:pPr>
              <w:keepNext w:val="0"/>
              <w:keepLines w:val="0"/>
              <w:framePr w:wrap="auto" w:vAnchor="margin" w:hAnchor="text" w:yAlign="inline"/>
              <w:widowControl/>
              <w:suppressLineNumbers w:val="0"/>
              <w:jc w:val="left"/>
              <w:textAlignment w:val="center"/>
              <w:rPr>
                <w:rFonts w:hint="eastAsia" w:ascii="仿宋" w:hAnsi="仿宋" w:eastAsia="仿宋" w:cs="仿宋"/>
                <w:b/>
                <w:bCs/>
                <w:i w:val="0"/>
                <w:iCs w:val="0"/>
                <w:color w:val="000000"/>
                <w:kern w:val="2"/>
                <w:sz w:val="24"/>
                <w:szCs w:val="24"/>
                <w:u w:val="none"/>
                <w:lang w:eastAsia="zh-CN"/>
              </w:rPr>
            </w:pPr>
          </w:p>
        </w:tc>
        <w:tc>
          <w:tcPr>
            <w:tcW w:w="1175" w:type="dxa"/>
            <w:tcBorders>
              <w:top w:val="single" w:color="000000" w:sz="4" w:space="0"/>
              <w:left w:val="single" w:color="000000" w:sz="4" w:space="0"/>
              <w:bottom w:val="single" w:color="000000" w:sz="4" w:space="0"/>
              <w:right w:val="single" w:color="000000" w:sz="4" w:space="0"/>
            </w:tcBorders>
            <w:noWrap w:val="0"/>
            <w:vAlign w:val="bottom"/>
          </w:tcPr>
          <w:p w14:paraId="6BE5FA22">
            <w:pPr>
              <w:framePr w:wrap="auto" w:vAnchor="margin" w:hAnchor="text" w:yAlign="inline"/>
              <w:widowControl w:val="0"/>
              <w:jc w:val="left"/>
              <w:rPr>
                <w:rFonts w:hint="eastAsia" w:ascii="仿宋" w:hAnsi="仿宋" w:eastAsia="仿宋" w:cs="仿宋"/>
                <w:i w:val="0"/>
                <w:iCs w:val="0"/>
                <w:color w:val="000000"/>
                <w:kern w:val="2"/>
                <w:sz w:val="24"/>
                <w:szCs w:val="24"/>
                <w:u w:val="none"/>
                <w:lang w:eastAsia="zh-CN"/>
              </w:rPr>
            </w:pPr>
          </w:p>
        </w:tc>
      </w:tr>
      <w:tr w14:paraId="64E8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203" w:type="dxa"/>
            <w:gridSpan w:val="5"/>
            <w:tcBorders>
              <w:top w:val="single" w:color="000000" w:sz="4" w:space="0"/>
              <w:left w:val="single" w:color="000000" w:sz="4" w:space="0"/>
              <w:bottom w:val="single" w:color="000000" w:sz="4" w:space="0"/>
              <w:right w:val="single" w:color="000000" w:sz="4" w:space="0"/>
            </w:tcBorders>
            <w:noWrap w:val="0"/>
            <w:vAlign w:val="center"/>
          </w:tcPr>
          <w:p w14:paraId="6B0A2A34">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增值税（</w:t>
            </w:r>
            <w:r>
              <w:rPr>
                <w:rFonts w:hint="eastAsia" w:ascii="仿宋" w:hAnsi="仿宋" w:eastAsia="仿宋" w:cs="仿宋"/>
                <w:b/>
                <w:bCs/>
                <w:i w:val="0"/>
                <w:iCs w:val="0"/>
                <w:color w:val="000000"/>
                <w:kern w:val="0"/>
                <w:sz w:val="24"/>
                <w:szCs w:val="24"/>
                <w:u w:val="single"/>
                <w:lang w:val="en-US" w:eastAsia="zh-CN" w:bidi="ar"/>
              </w:rPr>
              <w:t xml:space="preserve"> </w:t>
            </w:r>
            <w:r>
              <w:rPr>
                <w:rStyle w:val="56"/>
                <w:rFonts w:hint="eastAsia"/>
                <w:kern w:val="2"/>
                <w:u w:val="single"/>
                <w:lang w:val="en-US" w:eastAsia="zh-CN" w:bidi="ar"/>
              </w:rPr>
              <w:t xml:space="preserve">  </w:t>
            </w:r>
            <w:r>
              <w:rPr>
                <w:rFonts w:hint="eastAsia" w:ascii="仿宋" w:hAnsi="仿宋" w:eastAsia="仿宋" w:cs="仿宋"/>
                <w:b/>
                <w:bCs/>
                <w:i w:val="0"/>
                <w:iCs w:val="0"/>
                <w:color w:val="000000"/>
                <w:kern w:val="0"/>
                <w:sz w:val="24"/>
                <w:szCs w:val="24"/>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659A392">
            <w:pPr>
              <w:keepNext w:val="0"/>
              <w:keepLines w:val="0"/>
              <w:framePr w:wrap="auto" w:vAnchor="margin" w:hAnchor="text" w:yAlign="inline"/>
              <w:widowControl/>
              <w:suppressLineNumbers w:val="0"/>
              <w:jc w:val="left"/>
              <w:textAlignment w:val="center"/>
              <w:rPr>
                <w:rFonts w:hint="eastAsia" w:ascii="仿宋" w:hAnsi="仿宋" w:eastAsia="仿宋" w:cs="仿宋"/>
                <w:b/>
                <w:bCs/>
                <w:i w:val="0"/>
                <w:iCs w:val="0"/>
                <w:color w:val="000000"/>
                <w:kern w:val="2"/>
                <w:sz w:val="24"/>
                <w:szCs w:val="24"/>
                <w:u w:val="none"/>
                <w:lang w:eastAsia="zh-CN"/>
              </w:rPr>
            </w:pPr>
          </w:p>
        </w:tc>
        <w:tc>
          <w:tcPr>
            <w:tcW w:w="1175" w:type="dxa"/>
            <w:tcBorders>
              <w:top w:val="single" w:color="000000" w:sz="4" w:space="0"/>
              <w:left w:val="single" w:color="000000" w:sz="4" w:space="0"/>
              <w:bottom w:val="single" w:color="000000" w:sz="4" w:space="0"/>
              <w:right w:val="single" w:color="000000" w:sz="4" w:space="0"/>
            </w:tcBorders>
            <w:noWrap w:val="0"/>
            <w:vAlign w:val="bottom"/>
          </w:tcPr>
          <w:p w14:paraId="5C0603F0">
            <w:pPr>
              <w:framePr w:wrap="auto" w:vAnchor="margin" w:hAnchor="text" w:yAlign="inline"/>
              <w:widowControl w:val="0"/>
              <w:jc w:val="left"/>
              <w:rPr>
                <w:rFonts w:hint="eastAsia" w:ascii="仿宋" w:hAnsi="仿宋" w:eastAsia="仿宋" w:cs="仿宋"/>
                <w:i w:val="0"/>
                <w:iCs w:val="0"/>
                <w:color w:val="000000"/>
                <w:kern w:val="2"/>
                <w:sz w:val="24"/>
                <w:szCs w:val="24"/>
                <w:u w:val="none"/>
                <w:lang w:eastAsia="zh-CN"/>
              </w:rPr>
            </w:pPr>
          </w:p>
        </w:tc>
      </w:tr>
      <w:tr w14:paraId="6456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203" w:type="dxa"/>
            <w:gridSpan w:val="5"/>
            <w:tcBorders>
              <w:top w:val="single" w:color="000000" w:sz="4" w:space="0"/>
              <w:left w:val="single" w:color="000000" w:sz="4" w:space="0"/>
              <w:bottom w:val="single" w:color="000000" w:sz="4" w:space="0"/>
              <w:right w:val="single" w:color="000000" w:sz="4" w:space="0"/>
            </w:tcBorders>
            <w:noWrap w:val="0"/>
            <w:vAlign w:val="center"/>
          </w:tcPr>
          <w:p w14:paraId="0D2B4B0B">
            <w:pPr>
              <w:keepNext w:val="0"/>
              <w:keepLines w:val="0"/>
              <w:framePr w:wrap="auto" w:vAnchor="margin" w:hAnchor="text" w:yAlign="inline"/>
              <w:widowControl/>
              <w:suppressLineNumbers w:val="0"/>
              <w:jc w:val="center"/>
              <w:textAlignment w:val="center"/>
              <w:rPr>
                <w:rFonts w:hint="eastAsia" w:ascii="仿宋" w:hAnsi="仿宋" w:eastAsia="仿宋" w:cs="仿宋"/>
                <w:b/>
                <w:bCs/>
                <w:i w:val="0"/>
                <w:iCs w:val="0"/>
                <w:color w:val="000000"/>
                <w:kern w:val="2"/>
                <w:sz w:val="24"/>
                <w:szCs w:val="24"/>
                <w:u w:val="none"/>
                <w:lang w:eastAsia="zh-CN"/>
              </w:rPr>
            </w:pPr>
            <w:r>
              <w:rPr>
                <w:rFonts w:hint="eastAsia" w:ascii="仿宋" w:hAnsi="仿宋" w:eastAsia="仿宋" w:cs="仿宋"/>
                <w:b/>
                <w:bCs/>
                <w:i w:val="0"/>
                <w:iCs w:val="0"/>
                <w:color w:val="000000"/>
                <w:kern w:val="0"/>
                <w:sz w:val="24"/>
                <w:szCs w:val="24"/>
                <w:u w:val="none"/>
                <w:lang w:val="en-US" w:eastAsia="zh-CN" w:bidi="ar"/>
              </w:rPr>
              <w:t>含税金额总价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1DFAFED">
            <w:pPr>
              <w:keepNext w:val="0"/>
              <w:keepLines w:val="0"/>
              <w:framePr w:wrap="auto" w:vAnchor="margin" w:hAnchor="text" w:yAlign="inline"/>
              <w:widowControl/>
              <w:suppressLineNumbers w:val="0"/>
              <w:jc w:val="left"/>
              <w:textAlignment w:val="center"/>
              <w:rPr>
                <w:rFonts w:hint="eastAsia" w:ascii="仿宋" w:hAnsi="仿宋" w:eastAsia="仿宋" w:cs="仿宋"/>
                <w:b/>
                <w:bCs/>
                <w:i w:val="0"/>
                <w:iCs w:val="0"/>
                <w:color w:val="000000"/>
                <w:kern w:val="2"/>
                <w:sz w:val="24"/>
                <w:szCs w:val="24"/>
                <w:u w:val="none"/>
                <w:lang w:eastAsia="zh-CN"/>
              </w:rPr>
            </w:pPr>
          </w:p>
        </w:tc>
        <w:tc>
          <w:tcPr>
            <w:tcW w:w="1175" w:type="dxa"/>
            <w:tcBorders>
              <w:top w:val="single" w:color="000000" w:sz="4" w:space="0"/>
              <w:left w:val="single" w:color="000000" w:sz="4" w:space="0"/>
              <w:bottom w:val="single" w:color="000000" w:sz="4" w:space="0"/>
              <w:right w:val="single" w:color="000000" w:sz="4" w:space="0"/>
            </w:tcBorders>
            <w:noWrap/>
            <w:vAlign w:val="bottom"/>
          </w:tcPr>
          <w:p w14:paraId="79ED8E0E">
            <w:pPr>
              <w:framePr w:wrap="auto" w:vAnchor="margin" w:hAnchor="text" w:yAlign="inline"/>
              <w:widowControl w:val="0"/>
              <w:jc w:val="left"/>
              <w:rPr>
                <w:rFonts w:hint="eastAsia" w:ascii="Arial" w:hAnsi="Arial" w:eastAsia="宋体" w:cs="Arial"/>
                <w:i w:val="0"/>
                <w:iCs w:val="0"/>
                <w:color w:val="000000"/>
                <w:kern w:val="2"/>
                <w:sz w:val="20"/>
                <w:szCs w:val="20"/>
                <w:u w:val="none"/>
                <w:lang w:eastAsia="zh-CN"/>
              </w:rPr>
            </w:pPr>
          </w:p>
        </w:tc>
      </w:tr>
    </w:tbl>
    <w:p w14:paraId="0F28E75F">
      <w:pPr>
        <w:framePr w:wrap="auto" w:vAnchor="margin" w:hAnchor="text" w:yAlign="inline"/>
        <w:widowControl/>
        <w:shd w:val="clear" w:color="auto" w:fill="FFFFFF"/>
        <w:spacing w:line="360" w:lineRule="auto"/>
        <w:ind w:firstLine="480" w:firstLineChars="200"/>
        <w:jc w:val="both"/>
        <w:rPr>
          <w:rFonts w:hint="default" w:ascii="仿宋" w:hAnsi="仿宋" w:eastAsia="仿宋" w:cs="仿宋"/>
          <w:b w:val="0"/>
          <w:bCs w:val="0"/>
          <w:color w:val="auto"/>
          <w:kern w:val="2"/>
          <w:sz w:val="24"/>
          <w:highlight w:val="none"/>
          <w:lang w:val="en-US" w:eastAsia="zh-CN"/>
        </w:rPr>
      </w:pPr>
      <w:r>
        <w:rPr>
          <w:rFonts w:hint="eastAsia" w:ascii="仿宋" w:hAnsi="仿宋" w:eastAsia="仿宋" w:cs="仿宋"/>
          <w:b w:val="0"/>
          <w:bCs w:val="0"/>
          <w:color w:val="auto"/>
          <w:kern w:val="2"/>
          <w:sz w:val="24"/>
          <w:highlight w:val="none"/>
          <w:lang w:val="en-US" w:eastAsia="zh-CN"/>
        </w:rPr>
        <w:t>阻锈剂符合《钢筋混凝土阻锈剂》(JT/T 537-2018)规范要求，抗侵蚀防腐剂符合混凝土抗侵蚀防腐剂(JC/T 1011-2021)规范要求及《混凝土外加剂》(GB8076-2008)相关规范要求。</w:t>
      </w:r>
    </w:p>
    <w:p w14:paraId="5F924A54">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b/>
          <w:color w:val="auto"/>
          <w:kern w:val="0"/>
          <w:sz w:val="24"/>
          <w:highlight w:val="none"/>
          <w:lang w:eastAsia="zh-CN"/>
        </w:rPr>
      </w:pPr>
      <w:r>
        <w:rPr>
          <w:rFonts w:hint="eastAsia" w:ascii="仿宋" w:hAnsi="仿宋" w:eastAsia="仿宋" w:cs="仿宋"/>
          <w:color w:val="auto"/>
          <w:kern w:val="2"/>
          <w:sz w:val="24"/>
          <w:highlight w:val="none"/>
          <w:lang w:eastAsia="zh-CN"/>
        </w:rPr>
        <w:t>本合同价格</w:t>
      </w:r>
      <w:r>
        <w:rPr>
          <w:rFonts w:hint="eastAsia" w:ascii="仿宋" w:hAnsi="仿宋" w:eastAsia="仿宋" w:cs="仿宋"/>
          <w:color w:val="auto"/>
          <w:kern w:val="0"/>
          <w:sz w:val="24"/>
          <w:highlight w:val="none"/>
          <w:lang w:eastAsia="zh-CN"/>
        </w:rPr>
        <w:t>均为含税（</w:t>
      </w:r>
      <w:r>
        <w:rPr>
          <w:rFonts w:hint="eastAsia" w:ascii="仿宋" w:hAnsi="仿宋" w:eastAsia="仿宋" w:cs="仿宋"/>
          <w:color w:val="auto"/>
          <w:kern w:val="2"/>
          <w:sz w:val="24"/>
          <w:highlight w:val="none"/>
          <w:u w:val="single"/>
          <w:lang w:eastAsia="zh-CN"/>
        </w:rPr>
        <w:t>[</w:t>
      </w:r>
      <w:r>
        <w:rPr>
          <w:rFonts w:hint="eastAsia" w:ascii="仿宋" w:hAnsi="仿宋" w:eastAsia="仿宋" w:cs="仿宋"/>
          <w:color w:val="auto"/>
          <w:kern w:val="2"/>
          <w:sz w:val="24"/>
          <w:highlight w:val="none"/>
          <w:u w:val="single"/>
          <w:lang w:val="en-US" w:eastAsia="zh-CN"/>
        </w:rPr>
        <w:t xml:space="preserve">  </w:t>
      </w:r>
      <w:r>
        <w:rPr>
          <w:rFonts w:hint="eastAsia" w:ascii="仿宋" w:hAnsi="仿宋" w:eastAsia="仿宋" w:cs="仿宋"/>
          <w:color w:val="auto"/>
          <w:kern w:val="2"/>
          <w:sz w:val="24"/>
          <w:highlight w:val="none"/>
          <w:u w:val="single"/>
          <w:lang w:eastAsia="zh-CN"/>
        </w:rPr>
        <w:t>%]专用发票）含运费</w:t>
      </w:r>
      <w:r>
        <w:rPr>
          <w:rFonts w:hint="eastAsia" w:ascii="仿宋" w:hAnsi="仿宋" w:eastAsia="仿宋" w:cs="仿宋"/>
          <w:color w:val="auto"/>
          <w:kern w:val="2"/>
          <w:sz w:val="24"/>
          <w:highlight w:val="none"/>
          <w:lang w:eastAsia="zh-CN"/>
        </w:rPr>
        <w:t>的价格及含本合同约定的乙方应履行的全部义务相应的所有费用，除双方另有书面约定外，乙方无权向甲方主张任何其他费用</w:t>
      </w:r>
      <w:r>
        <w:rPr>
          <w:rFonts w:hint="eastAsia" w:ascii="仿宋" w:hAnsi="仿宋" w:eastAsia="仿宋" w:cs="仿宋"/>
          <w:color w:val="auto"/>
          <w:kern w:val="0"/>
          <w:sz w:val="24"/>
          <w:highlight w:val="none"/>
          <w:lang w:eastAsia="zh-CN"/>
        </w:rPr>
        <w:t>。</w:t>
      </w:r>
    </w:p>
    <w:p w14:paraId="67B0CD65">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b/>
          <w:color w:val="auto"/>
          <w:kern w:val="2"/>
          <w:sz w:val="24"/>
          <w:highlight w:val="none"/>
          <w:lang w:eastAsia="zh-CN"/>
        </w:rPr>
      </w:pPr>
      <w:r>
        <w:rPr>
          <w:rFonts w:hint="eastAsia" w:ascii="仿宋" w:hAnsi="仿宋" w:eastAsia="仿宋" w:cs="仿宋"/>
          <w:b/>
          <w:color w:val="auto"/>
          <w:kern w:val="0"/>
          <w:sz w:val="24"/>
          <w:highlight w:val="none"/>
          <w:lang w:eastAsia="zh-CN"/>
        </w:rPr>
        <w:t>第二条 产品质量保证及验收标准</w:t>
      </w:r>
    </w:p>
    <w:p w14:paraId="1E529E35">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一）乙方保证按合同约定的品牌、规格、样品及甲方的要求交货，保证提供给甲方的产品为原厂出产、全新、无损坏的产品，所有产品之品质及技术指标均符合原生产厂商标准及国家和行业有关质量技术标准。乙方须随货向甲方提供相关质量合格证明、合法销售证明文件等资料，以便甲方和相关部门验收。甲方的验收并不免除乙方的质量保证责任及质保义务，乙方仍应按本合同约定履行义务。</w:t>
      </w:r>
    </w:p>
    <w:p w14:paraId="0D2F68F6">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二）乙方保证所供产品无任何权利瑕疵或质量瑕疵，所有产品均未侵犯包括他人知识产权等在内的权益，所有产品均属原生产厂商在中国大陆区域内合法生产、销售、使用的产品，且保证甲方将该等产品出售给其他任何第三方不存在任何限制。否则，甲方有权退货，乙方应退还甲方已支付的一切款项，且由此给甲方、实际使用人或其他第三方造成的一切法律责任和经济损失概由乙方承担，乙方该等责任不因甲方的验收或使用而得到任何减免。</w:t>
      </w:r>
    </w:p>
    <w:p w14:paraId="32E72DC3">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（三）甲方验收产品后由本合同约定的双方指定代表在送货凭证上签字确认（他人签字无效），双方各执一份，作为对账确认的依据。</w:t>
      </w:r>
    </w:p>
    <w:p w14:paraId="620F565E">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b/>
          <w:color w:val="auto"/>
          <w:kern w:val="0"/>
          <w:sz w:val="24"/>
          <w:highlight w:val="none"/>
          <w:lang w:eastAsia="zh-CN"/>
        </w:rPr>
      </w:pPr>
      <w:r>
        <w:rPr>
          <w:rFonts w:hint="eastAsia" w:ascii="仿宋" w:hAnsi="仿宋" w:eastAsia="仿宋" w:cs="仿宋"/>
          <w:b/>
          <w:color w:val="auto"/>
          <w:kern w:val="0"/>
          <w:sz w:val="24"/>
          <w:highlight w:val="none"/>
          <w:lang w:eastAsia="zh-CN"/>
        </w:rPr>
        <w:t>第三条 产品包装及运输</w:t>
      </w:r>
    </w:p>
    <w:p w14:paraId="69906524">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（一）乙方必须对产品进行完整封包，保证在运输途中包装的安全可靠，</w:t>
      </w:r>
      <w:r>
        <w:rPr>
          <w:rFonts w:hint="eastAsia" w:ascii="仿宋" w:hAnsi="仿宋" w:eastAsia="仿宋" w:cs="仿宋"/>
          <w:color w:val="auto"/>
          <w:kern w:val="0"/>
          <w:sz w:val="24"/>
          <w:highlight w:val="none"/>
          <w:lang w:eastAsia="zh-CN"/>
        </w:rPr>
        <w:t>适合长途运输和野蛮装卸、确保货物不损坏，产品包装不回收</w:t>
      </w:r>
      <w:r>
        <w:rPr>
          <w:rFonts w:hint="eastAsia" w:ascii="仿宋" w:hAnsi="仿宋" w:eastAsia="仿宋" w:cs="仿宋"/>
          <w:color w:val="auto"/>
          <w:kern w:val="2"/>
          <w:sz w:val="24"/>
          <w:highlight w:val="none"/>
          <w:lang w:eastAsia="zh-CN"/>
        </w:rPr>
        <w:t>。</w:t>
      </w:r>
    </w:p>
    <w:p w14:paraId="7C7BB439">
      <w:pPr>
        <w:framePr w:wrap="auto" w:vAnchor="margin" w:hAnchor="text" w:yAlign="inline"/>
        <w:widowControl w:val="0"/>
        <w:spacing w:line="360" w:lineRule="auto"/>
        <w:ind w:firstLine="480" w:firstLineChars="200"/>
        <w:jc w:val="left"/>
        <w:rPr>
          <w:rFonts w:hint="eastAsia" w:ascii="仿宋" w:hAnsi="仿宋" w:eastAsia="仿宋" w:cs="仿宋"/>
          <w:color w:val="auto"/>
          <w:kern w:val="2"/>
          <w:sz w:val="24"/>
          <w:highlight w:val="none"/>
          <w:lang w:eastAsia="zh-CN"/>
        </w:rPr>
      </w:pPr>
      <w:r>
        <w:rPr>
          <w:rFonts w:hint="eastAsia" w:ascii="仿宋" w:hAnsi="仿宋" w:eastAsia="仿宋" w:cs="仿宋"/>
          <w:color w:val="auto"/>
          <w:kern w:val="0"/>
          <w:sz w:val="24"/>
          <w:highlight w:val="none"/>
          <w:lang w:eastAsia="zh-CN"/>
        </w:rPr>
        <w:t>（二）产品运输方式由甲乙双方共同协商为：</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eastAsia="zh-CN"/>
        </w:rPr>
        <w:t>。</w:t>
      </w:r>
    </w:p>
    <w:p w14:paraId="5B946BCB">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（三）</w:t>
      </w:r>
      <w:r>
        <w:rPr>
          <w:rFonts w:hint="eastAsia" w:ascii="仿宋" w:hAnsi="仿宋" w:eastAsia="仿宋" w:cs="仿宋"/>
          <w:color w:val="auto"/>
          <w:kern w:val="0"/>
          <w:sz w:val="24"/>
          <w:highlight w:val="none"/>
          <w:lang w:eastAsia="zh-CN"/>
        </w:rPr>
        <w:t>产品运输及装卸：</w:t>
      </w:r>
      <w:r>
        <w:rPr>
          <w:rFonts w:hint="eastAsia" w:ascii="仿宋" w:hAnsi="仿宋" w:eastAsia="仿宋" w:cs="仿宋"/>
          <w:color w:val="auto"/>
          <w:kern w:val="2"/>
          <w:sz w:val="24"/>
          <w:highlight w:val="none"/>
          <w:lang w:eastAsia="zh-CN"/>
        </w:rPr>
        <w:t>乙方负责安排产品装卸、发送货和购买运输险，装车费、运输费及保险费、卸货费均已包含在本合同价款中。乙方承担产品</w:t>
      </w:r>
      <w:r>
        <w:rPr>
          <w:rFonts w:hint="eastAsia" w:ascii="仿宋" w:hAnsi="仿宋" w:eastAsia="仿宋" w:cs="仿宋"/>
          <w:color w:val="auto"/>
          <w:kern w:val="0"/>
          <w:sz w:val="24"/>
          <w:highlight w:val="none"/>
          <w:lang w:eastAsia="zh-CN"/>
        </w:rPr>
        <w:t>装车、</w:t>
      </w:r>
      <w:r>
        <w:rPr>
          <w:rFonts w:hint="eastAsia" w:ascii="仿宋" w:hAnsi="仿宋" w:eastAsia="仿宋" w:cs="仿宋"/>
          <w:color w:val="auto"/>
          <w:kern w:val="2"/>
          <w:sz w:val="24"/>
          <w:highlight w:val="none"/>
          <w:lang w:eastAsia="zh-CN"/>
        </w:rPr>
        <w:t>运输途中</w:t>
      </w:r>
      <w:r>
        <w:rPr>
          <w:rFonts w:hint="eastAsia" w:ascii="仿宋" w:hAnsi="仿宋" w:eastAsia="仿宋" w:cs="仿宋"/>
          <w:color w:val="auto"/>
          <w:kern w:val="0"/>
          <w:sz w:val="24"/>
          <w:highlight w:val="none"/>
          <w:lang w:eastAsia="zh-CN"/>
        </w:rPr>
        <w:t>及卸货</w:t>
      </w:r>
      <w:r>
        <w:rPr>
          <w:rFonts w:hint="eastAsia" w:ascii="仿宋" w:hAnsi="仿宋" w:eastAsia="仿宋" w:cs="仿宋"/>
          <w:color w:val="auto"/>
          <w:kern w:val="2"/>
          <w:sz w:val="24"/>
          <w:highlight w:val="none"/>
          <w:lang w:eastAsia="zh-CN"/>
        </w:rPr>
        <w:t>的一切人员及财产安全责任，在租赁车辆时必须确保车辆及司机具有合规证照、车况良好司机具有良好职业道德，以确保运输安全。如在装车、运输、卸货过程中造成产品毁损、人员伤亡，一切责任由乙方承担。</w:t>
      </w:r>
    </w:p>
    <w:p w14:paraId="33CAF491">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（四）只有乙方将产品运至交货地点且经甲方验收合格、接收产品后，产品的所有权才由乙方转移至甲方，视为产品已交付。产品所有权的转移不免除乙方对产品所应承担的质量责任。</w:t>
      </w:r>
    </w:p>
    <w:p w14:paraId="0D2AD768">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（五）产品灭失、毁损等风险在产品到达甲方指定交货地点并经甲方验收合格且接收产品后，由乙方转移至甲方。在产品未验收合格或甲方拒收或者解除合同的情况下，产品毁损、灭失等风险由乙方承担。</w:t>
      </w:r>
    </w:p>
    <w:p w14:paraId="5AC85C28">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（六）乙方未按合同约定履行合同义务的，甲方有权要求其承担违约或赔偿责任，产品所有权和风险的转移不免除乙方上述责任。</w:t>
      </w:r>
    </w:p>
    <w:p w14:paraId="1EE79EC7">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color w:val="auto"/>
          <w:kern w:val="0"/>
          <w:sz w:val="24"/>
          <w:highlight w:val="none"/>
          <w:lang w:eastAsia="zh-CN"/>
        </w:rPr>
      </w:pPr>
      <w:r>
        <w:rPr>
          <w:rFonts w:hint="eastAsia" w:ascii="仿宋" w:hAnsi="仿宋" w:eastAsia="仿宋" w:cs="仿宋"/>
          <w:b/>
          <w:color w:val="auto"/>
          <w:kern w:val="0"/>
          <w:sz w:val="24"/>
          <w:highlight w:val="none"/>
          <w:lang w:eastAsia="zh-CN"/>
        </w:rPr>
        <w:t>第四条 交货期限及交货要求</w:t>
      </w:r>
    </w:p>
    <w:p w14:paraId="7CCA5A68">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（一）</w:t>
      </w:r>
      <w:r>
        <w:rPr>
          <w:rFonts w:hint="eastAsia" w:ascii="仿宋" w:hAnsi="仿宋" w:eastAsia="仿宋" w:cs="仿宋"/>
          <w:iCs/>
          <w:color w:val="auto"/>
          <w:kern w:val="0"/>
          <w:sz w:val="24"/>
          <w:highlight w:val="none"/>
          <w:lang w:eastAsia="zh-CN"/>
        </w:rPr>
        <w:t>交货时间</w:t>
      </w:r>
      <w:r>
        <w:rPr>
          <w:rFonts w:hint="eastAsia" w:ascii="仿宋" w:hAnsi="仿宋" w:eastAsia="仿宋" w:cs="仿宋"/>
          <w:b/>
          <w:iCs/>
          <w:color w:val="auto"/>
          <w:kern w:val="0"/>
          <w:sz w:val="24"/>
          <w:highlight w:val="none"/>
          <w:lang w:eastAsia="zh-CN"/>
        </w:rPr>
        <w:t>:</w:t>
      </w:r>
      <w:r>
        <w:rPr>
          <w:rFonts w:hint="eastAsia" w:ascii="仿宋" w:hAnsi="仿宋" w:eastAsia="仿宋" w:cs="仿宋"/>
          <w:iCs/>
          <w:color w:val="auto"/>
          <w:kern w:val="0"/>
          <w:sz w:val="24"/>
          <w:highlight w:val="none"/>
          <w:u w:val="single"/>
          <w:lang w:val="en-US" w:eastAsia="zh-CN"/>
        </w:rPr>
        <w:t xml:space="preserve">          </w:t>
      </w:r>
      <w:r>
        <w:rPr>
          <w:rFonts w:hint="eastAsia" w:ascii="仿宋" w:hAnsi="仿宋" w:eastAsia="仿宋" w:cs="仿宋"/>
          <w:iCs/>
          <w:color w:val="auto"/>
          <w:kern w:val="0"/>
          <w:sz w:val="24"/>
          <w:highlight w:val="none"/>
          <w:lang w:eastAsia="zh-CN"/>
        </w:rPr>
        <w:t>；对于分批送货的，每批次交货的时间及数量以甲方通知为准。</w:t>
      </w:r>
    </w:p>
    <w:p w14:paraId="567C4D19">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iCs/>
          <w:color w:val="auto"/>
          <w:kern w:val="0"/>
          <w:sz w:val="24"/>
          <w:highlight w:val="none"/>
          <w:u w:val="single"/>
          <w:lang w:eastAsia="zh-CN"/>
        </w:rPr>
      </w:pPr>
      <w:r>
        <w:rPr>
          <w:rFonts w:hint="eastAsia" w:ascii="仿宋" w:hAnsi="仿宋" w:eastAsia="仿宋" w:cs="仿宋"/>
          <w:color w:val="auto"/>
          <w:kern w:val="0"/>
          <w:sz w:val="24"/>
          <w:highlight w:val="none"/>
          <w:lang w:eastAsia="zh-CN"/>
        </w:rPr>
        <w:t>（二）交货地点：</w:t>
      </w:r>
      <w:r>
        <w:rPr>
          <w:rFonts w:hint="eastAsia" w:ascii="仿宋" w:hAnsi="仿宋" w:eastAsia="仿宋" w:cs="Times New Roman"/>
          <w:color w:val="auto"/>
          <w:kern w:val="2"/>
          <w:sz w:val="24"/>
          <w:szCs w:val="24"/>
          <w:highlight w:val="none"/>
          <w:u w:val="single"/>
          <w:lang w:val="en-US" w:eastAsia="zh-CN"/>
        </w:rPr>
        <w:t xml:space="preserve">          </w:t>
      </w:r>
      <w:r>
        <w:rPr>
          <w:rFonts w:hint="eastAsia" w:ascii="仿宋" w:hAnsi="仿宋" w:eastAsia="仿宋" w:cs="仿宋"/>
          <w:iCs/>
          <w:color w:val="auto"/>
          <w:kern w:val="0"/>
          <w:sz w:val="24"/>
          <w:highlight w:val="none"/>
          <w:u w:val="none"/>
          <w:lang w:eastAsia="zh-CN"/>
        </w:rPr>
        <w:t>。</w:t>
      </w:r>
    </w:p>
    <w:p w14:paraId="6A29ACEA">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iCs/>
          <w:color w:val="auto"/>
          <w:kern w:val="0"/>
          <w:sz w:val="24"/>
          <w:highlight w:val="none"/>
          <w:lang w:eastAsia="zh-CN"/>
        </w:rPr>
      </w:pPr>
      <w:r>
        <w:rPr>
          <w:rFonts w:hint="eastAsia" w:ascii="仿宋" w:hAnsi="仿宋" w:eastAsia="仿宋" w:cs="仿宋"/>
          <w:iCs/>
          <w:color w:val="auto"/>
          <w:kern w:val="0"/>
          <w:sz w:val="24"/>
          <w:highlight w:val="none"/>
          <w:lang w:eastAsia="zh-CN"/>
        </w:rPr>
        <w:t>（三）送货单须有甲乙双方代表签字，</w:t>
      </w:r>
      <w:r>
        <w:rPr>
          <w:rFonts w:hint="eastAsia" w:ascii="仿宋" w:hAnsi="仿宋" w:eastAsia="仿宋" w:cs="仿宋"/>
          <w:iCs/>
          <w:color w:val="auto"/>
          <w:kern w:val="0"/>
          <w:sz w:val="24"/>
          <w:highlight w:val="none"/>
          <w:lang w:val="en-US" w:eastAsia="zh-CN"/>
        </w:rPr>
        <w:t>甲方指定收货人为</w:t>
      </w:r>
      <w:r>
        <w:rPr>
          <w:rFonts w:hint="eastAsia" w:ascii="仿宋" w:hAnsi="仿宋" w:eastAsia="仿宋" w:cs="仿宋"/>
          <w:iCs/>
          <w:color w:val="auto"/>
          <w:kern w:val="0"/>
          <w:sz w:val="24"/>
          <w:highlight w:val="none"/>
          <w:u w:val="single"/>
          <w:lang w:val="en-US" w:eastAsia="zh-CN"/>
        </w:rPr>
        <w:t xml:space="preserve">      </w:t>
      </w:r>
      <w:r>
        <w:rPr>
          <w:rFonts w:hint="eastAsia" w:ascii="仿宋" w:hAnsi="仿宋" w:eastAsia="仿宋" w:cs="仿宋"/>
          <w:iCs/>
          <w:color w:val="auto"/>
          <w:kern w:val="0"/>
          <w:sz w:val="24"/>
          <w:highlight w:val="none"/>
          <w:lang w:val="en-US" w:eastAsia="zh-CN"/>
        </w:rPr>
        <w:t>，</w:t>
      </w:r>
      <w:r>
        <w:rPr>
          <w:rFonts w:hint="eastAsia" w:ascii="仿宋" w:hAnsi="仿宋" w:eastAsia="仿宋" w:cs="仿宋"/>
          <w:color w:val="auto"/>
          <w:kern w:val="2"/>
          <w:sz w:val="24"/>
          <w:highlight w:val="none"/>
          <w:lang w:eastAsia="zh-CN"/>
        </w:rPr>
        <w:t>否则不得作为结算依据</w:t>
      </w:r>
      <w:r>
        <w:rPr>
          <w:rFonts w:hint="eastAsia" w:ascii="仿宋" w:hAnsi="仿宋" w:eastAsia="仿宋" w:cs="仿宋"/>
          <w:iCs/>
          <w:color w:val="auto"/>
          <w:kern w:val="0"/>
          <w:sz w:val="24"/>
          <w:highlight w:val="none"/>
          <w:lang w:eastAsia="zh-CN"/>
        </w:rPr>
        <w:t>。</w:t>
      </w:r>
    </w:p>
    <w:p w14:paraId="25D5A4BD">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iCs/>
          <w:kern w:val="0"/>
          <w:sz w:val="24"/>
          <w:lang w:eastAsia="zh-CN"/>
        </w:rPr>
      </w:pPr>
      <w:r>
        <w:rPr>
          <w:rFonts w:hint="eastAsia" w:ascii="仿宋" w:hAnsi="仿宋" w:eastAsia="仿宋" w:cs="仿宋"/>
          <w:iCs/>
          <w:kern w:val="0"/>
          <w:sz w:val="24"/>
          <w:lang w:eastAsia="zh-CN"/>
        </w:rPr>
        <w:t>（四）甲方需要变更交货地点或交货日期的，应提前通知乙方，乙方应无条件根据甲方通知和要求送货。</w:t>
      </w:r>
    </w:p>
    <w:p w14:paraId="43ACC004">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iCs/>
          <w:kern w:val="0"/>
          <w:sz w:val="24"/>
          <w:lang w:eastAsia="zh-CN"/>
        </w:rPr>
      </w:pPr>
      <w:r>
        <w:rPr>
          <w:rFonts w:hint="eastAsia" w:ascii="仿宋" w:hAnsi="仿宋" w:eastAsia="仿宋" w:cs="仿宋"/>
          <w:iCs/>
          <w:kern w:val="0"/>
          <w:sz w:val="24"/>
          <w:lang w:eastAsia="zh-CN"/>
        </w:rPr>
        <w:t>（五）若经受不可抗力事件，导致交货延迟，经受一方应在自不可抗力产生之日起的3个工作日内通知另一方，并尽全力采取补救措施。</w:t>
      </w:r>
    </w:p>
    <w:p w14:paraId="159D96C8">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b/>
          <w:kern w:val="0"/>
          <w:sz w:val="24"/>
          <w:lang w:eastAsia="zh-CN"/>
        </w:rPr>
      </w:pPr>
      <w:r>
        <w:rPr>
          <w:rFonts w:hint="eastAsia" w:ascii="仿宋" w:hAnsi="仿宋" w:eastAsia="仿宋" w:cs="仿宋"/>
          <w:b/>
          <w:kern w:val="0"/>
          <w:sz w:val="24"/>
          <w:lang w:eastAsia="zh-CN"/>
        </w:rPr>
        <w:t>第五条 货款结算</w:t>
      </w:r>
    </w:p>
    <w:p w14:paraId="155AFE35">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0"/>
          <w:sz w:val="24"/>
          <w:lang w:eastAsia="zh-CN"/>
        </w:rPr>
      </w:pPr>
      <w:r>
        <w:rPr>
          <w:rFonts w:hint="eastAsia" w:ascii="仿宋" w:hAnsi="仿宋" w:eastAsia="仿宋" w:cs="仿宋"/>
          <w:kern w:val="0"/>
          <w:sz w:val="24"/>
          <w:lang w:eastAsia="zh-CN"/>
        </w:rPr>
        <w:t>（一）付款时间：</w:t>
      </w:r>
    </w:p>
    <w:p w14:paraId="59156561">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color w:val="000000"/>
          <w:kern w:val="0"/>
          <w:sz w:val="24"/>
          <w:u w:val="single"/>
          <w:lang w:eastAsia="zh-CN"/>
        </w:rPr>
      </w:pPr>
      <w:r>
        <w:rPr>
          <w:rFonts w:hint="eastAsia" w:ascii="仿宋" w:hAnsi="仿宋" w:eastAsia="仿宋" w:cs="仿宋"/>
          <w:kern w:val="0"/>
          <w:sz w:val="24"/>
          <w:u w:val="single"/>
          <w:lang w:eastAsia="zh-CN"/>
        </w:rPr>
        <w:t>按月进度支付，乙方于每月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lang w:eastAsia="zh-CN"/>
        </w:rPr>
        <w:t>日前申报上月整月到货量（附甲方指定人员签字确认的材料送货单及对账单）并提出付款申请，甲方收到乙方确认的完整的进度款申请资料后，完成审核无误后支付当月审核额的</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lang w:eastAsia="zh-CN"/>
        </w:rPr>
        <w:t>%。</w:t>
      </w:r>
      <w:r>
        <w:rPr>
          <w:rFonts w:hint="eastAsia" w:ascii="仿宋" w:hAnsi="仿宋" w:eastAsia="仿宋" w:cs="仿宋"/>
          <w:kern w:val="0"/>
          <w:sz w:val="24"/>
          <w:lang w:eastAsia="zh-CN"/>
        </w:rPr>
        <w:t>如</w:t>
      </w:r>
      <w:r>
        <w:rPr>
          <w:rFonts w:hint="eastAsia" w:ascii="仿宋" w:hAnsi="仿宋" w:eastAsia="仿宋" w:cs="仿宋"/>
          <w:kern w:val="2"/>
          <w:sz w:val="24"/>
          <w:lang w:eastAsia="zh-CN"/>
        </w:rPr>
        <w:t>乙方迟延提交本合同所需付款资料的，甲方有权顺延付款时间且不承担违约责任。</w:t>
      </w:r>
      <w:r>
        <w:rPr>
          <w:rFonts w:hint="eastAsia" w:ascii="仿宋" w:hAnsi="仿宋" w:eastAsia="仿宋" w:cs="仿宋"/>
          <w:bCs/>
          <w:color w:val="000000"/>
          <w:kern w:val="2"/>
          <w:sz w:val="24"/>
          <w:lang w:eastAsia="zh-CN"/>
        </w:rPr>
        <w:t>双方约定，甲方收到业主方付款后支付本合同款项，因甲方财务审批程序原因或业主方未及时付款致使相关款项在合同期内延迟支付的，乙方不得因此向甲方主张违约责任。</w:t>
      </w:r>
    </w:p>
    <w:p w14:paraId="761B7D8D">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（二）付款方式为银行转账，对公支付，甲方只对开发票公司的账号支付货款；若乙方委托或指定其他公司开具发票的，甲方有权拒绝付款。</w:t>
      </w:r>
    </w:p>
    <w:p w14:paraId="73C7F3B6">
      <w:pPr>
        <w:framePr w:wrap="auto" w:vAnchor="margin" w:hAnchor="text" w:yAlign="inline"/>
        <w:widowControl w:val="0"/>
        <w:spacing w:line="360" w:lineRule="auto"/>
        <w:ind w:firstLine="480" w:firstLineChars="200"/>
        <w:jc w:val="left"/>
        <w:rPr>
          <w:rFonts w:hint="eastAsia" w:ascii="仿宋" w:hAnsi="仿宋" w:eastAsia="仿宋" w:cs="仿宋"/>
          <w:color w:val="auto"/>
          <w:kern w:val="2"/>
          <w:sz w:val="24"/>
          <w:lang w:eastAsia="zh-CN"/>
        </w:rPr>
      </w:pPr>
      <w:r>
        <w:rPr>
          <w:rFonts w:hint="eastAsia" w:ascii="仿宋" w:hAnsi="仿宋" w:eastAsia="仿宋" w:cs="仿宋"/>
          <w:color w:val="auto"/>
          <w:kern w:val="0"/>
          <w:sz w:val="24"/>
          <w:lang w:eastAsia="zh-CN"/>
        </w:rPr>
        <w:t>（三）所有送货单不得随意涂改，乙方须凭有效送货单（经甲方指定代表签字确认）及发票（详见本条第四款要求）的原件向甲方申请结算及支付。</w:t>
      </w:r>
      <w:r>
        <w:rPr>
          <w:rFonts w:hint="eastAsia" w:ascii="仿宋" w:hAnsi="仿宋" w:eastAsia="仿宋" w:cs="仿宋"/>
          <w:color w:val="auto"/>
          <w:kern w:val="2"/>
          <w:sz w:val="24"/>
          <w:lang w:eastAsia="zh-CN"/>
        </w:rPr>
        <w:t>货款支付前乙方须同时向甲方提交书面合同、增值税发票、送货单、材料统计表、材料结算表。</w:t>
      </w:r>
    </w:p>
    <w:p w14:paraId="5025BD2E">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（四）发票</w:t>
      </w:r>
    </w:p>
    <w:p w14:paraId="514E4C2D">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1</w:t>
      </w:r>
      <w:r>
        <w:rPr>
          <w:rFonts w:hint="eastAsia" w:ascii="仿宋" w:hAnsi="仿宋" w:eastAsia="仿宋" w:cs="仿宋"/>
          <w:kern w:val="2"/>
          <w:sz w:val="24"/>
          <w:lang w:val="en-US" w:eastAsia="zh-CN"/>
        </w:rPr>
        <w:t>.</w:t>
      </w:r>
      <w:r>
        <w:rPr>
          <w:rFonts w:hint="eastAsia" w:ascii="仿宋" w:hAnsi="仿宋" w:eastAsia="仿宋" w:cs="仿宋"/>
          <w:kern w:val="2"/>
          <w:sz w:val="24"/>
          <w:lang w:eastAsia="zh-CN"/>
        </w:rPr>
        <w:t>甲方每次向乙方付款前，乙方均应向甲方开具税率为</w:t>
      </w:r>
      <w:r>
        <w:rPr>
          <w:rFonts w:hint="eastAsia" w:ascii="仿宋" w:hAnsi="仿宋" w:eastAsia="仿宋" w:cs="仿宋"/>
          <w:kern w:val="0"/>
          <w:sz w:val="24"/>
          <w:u w:val="single"/>
          <w:lang w:val="en-US" w:eastAsia="zh-CN"/>
        </w:rPr>
        <w:t xml:space="preserve"> </w:t>
      </w:r>
      <w:r>
        <w:rPr>
          <w:rFonts w:hint="eastAsia" w:ascii="仿宋" w:hAnsi="仿宋" w:eastAsia="仿宋" w:cs="仿宋"/>
          <w:kern w:val="2"/>
          <w:sz w:val="24"/>
          <w:u w:val="single"/>
          <w:lang w:val="en-US" w:eastAsia="zh-CN"/>
        </w:rPr>
        <w:t xml:space="preserve">   </w:t>
      </w:r>
      <w:r>
        <w:rPr>
          <w:rFonts w:hint="eastAsia" w:ascii="仿宋" w:hAnsi="仿宋" w:eastAsia="仿宋" w:cs="仿宋"/>
          <w:kern w:val="2"/>
          <w:sz w:val="24"/>
          <w:lang w:eastAsia="zh-CN"/>
        </w:rPr>
        <w:t>%、内容为</w:t>
      </w:r>
      <w:r>
        <w:rPr>
          <w:rFonts w:hint="eastAsia" w:ascii="仿宋" w:hAnsi="仿宋" w:eastAsia="仿宋" w:cs="仿宋"/>
          <w:kern w:val="2"/>
          <w:sz w:val="24"/>
          <w:u w:val="single"/>
          <w:lang w:val="en-US" w:eastAsia="zh-CN"/>
        </w:rPr>
        <w:t xml:space="preserve">  </w:t>
      </w:r>
      <w:r>
        <w:rPr>
          <w:rFonts w:hint="eastAsia" w:ascii="仿宋" w:hAnsi="仿宋" w:eastAsia="仿宋" w:cs="仿宋"/>
          <w:kern w:val="2"/>
          <w:sz w:val="24"/>
          <w:lang w:eastAsia="zh-CN"/>
        </w:rPr>
        <w:t>的合法有效专用发票（以下统称“发票”），并应自开具之日起十五日内送达甲方。乙方不开具或所开具发票不合格的，甲方有权顺延支付应付款项且不承担任何违约责任。</w:t>
      </w:r>
    </w:p>
    <w:p w14:paraId="689DF7D7">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2</w:t>
      </w:r>
      <w:r>
        <w:rPr>
          <w:rFonts w:hint="eastAsia" w:ascii="仿宋" w:hAnsi="仿宋" w:eastAsia="仿宋" w:cs="仿宋"/>
          <w:kern w:val="2"/>
          <w:sz w:val="24"/>
          <w:lang w:val="en-US" w:eastAsia="zh-CN"/>
        </w:rPr>
        <w:t>.</w:t>
      </w:r>
      <w:r>
        <w:rPr>
          <w:rFonts w:hint="eastAsia" w:ascii="仿宋" w:hAnsi="仿宋" w:eastAsia="仿宋" w:cs="仿宋"/>
          <w:kern w:val="2"/>
          <w:sz w:val="24"/>
          <w:lang w:eastAsia="zh-CN"/>
        </w:rPr>
        <w:t>甲方开票信息详见合同尾部。如乙方未按本合同约定向甲方开具、送达发票的，或乙方提供虚假发票或与业务项目、甲方要求不相符的发票，乙方需重新向甲方开具符合要求的发票，且甲方有权要求乙方支付发票金额</w:t>
      </w:r>
      <w:r>
        <w:rPr>
          <w:rFonts w:hint="eastAsia" w:ascii="仿宋" w:hAnsi="仿宋" w:eastAsia="仿宋" w:cs="仿宋"/>
          <w:kern w:val="2"/>
          <w:sz w:val="24"/>
          <w:lang w:val="en-US" w:eastAsia="zh-CN"/>
        </w:rPr>
        <w:t xml:space="preserve">  </w:t>
      </w:r>
      <w:r>
        <w:rPr>
          <w:rFonts w:hint="eastAsia" w:ascii="仿宋" w:hAnsi="仿宋" w:eastAsia="仿宋" w:cs="仿宋"/>
          <w:kern w:val="2"/>
          <w:sz w:val="24"/>
          <w:lang w:eastAsia="zh-CN"/>
        </w:rPr>
        <w:t>%的违约金（可从应付货款中扣除）,并由乙方承担全部法律责任，如因此给甲方造成损失的，甲方还有权要求乙方赔偿甲方的全部损失[包括但不限于甲方因无法正常抵扣而造成的损失、甲方因此所需承担的额外税局征缴的滞纳金、税金（所得税）、违约金、赔偿款、罚款（金）、诉讼费、律师费等</w:t>
      </w:r>
      <w:r>
        <w:rPr>
          <w:rFonts w:hint="eastAsia" w:ascii="仿宋" w:hAnsi="仿宋" w:eastAsia="仿宋" w:cs="仿宋"/>
          <w:bCs/>
          <w:kern w:val="2"/>
          <w:sz w:val="24"/>
          <w:lang w:eastAsia="zh-CN"/>
        </w:rPr>
        <w:t>]</w:t>
      </w:r>
      <w:r>
        <w:rPr>
          <w:rFonts w:hint="eastAsia" w:ascii="仿宋" w:hAnsi="仿宋" w:eastAsia="仿宋" w:cs="仿宋"/>
          <w:kern w:val="2"/>
          <w:sz w:val="24"/>
          <w:lang w:eastAsia="zh-CN"/>
        </w:rPr>
        <w:t>。</w:t>
      </w:r>
    </w:p>
    <w:p w14:paraId="7FF106F7">
      <w:pPr>
        <w:framePr w:wrap="auto" w:vAnchor="margin" w:hAnchor="text" w:yAlign="inline"/>
        <w:widowControl w:val="0"/>
        <w:spacing w:line="360" w:lineRule="auto"/>
        <w:ind w:left="240" w:leftChars="100" w:firstLine="240" w:firstLineChars="1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3</w:t>
      </w:r>
      <w:r>
        <w:rPr>
          <w:rFonts w:hint="eastAsia" w:ascii="仿宋" w:hAnsi="仿宋" w:eastAsia="仿宋" w:cs="仿宋"/>
          <w:kern w:val="2"/>
          <w:sz w:val="24"/>
          <w:lang w:val="en-US" w:eastAsia="zh-CN"/>
        </w:rPr>
        <w:t>.</w:t>
      </w:r>
      <w:r>
        <w:rPr>
          <w:rFonts w:hint="eastAsia" w:ascii="仿宋" w:hAnsi="仿宋" w:eastAsia="仿宋" w:cs="仿宋"/>
          <w:kern w:val="2"/>
          <w:sz w:val="24"/>
          <w:lang w:eastAsia="zh-CN"/>
        </w:rPr>
        <w:t>如经生效判决/裁决认定甲方应向乙方支付货款，乙方应在甲方付款后</w:t>
      </w:r>
      <w:r>
        <w:rPr>
          <w:rFonts w:hint="eastAsia" w:ascii="仿宋" w:hAnsi="仿宋" w:eastAsia="仿宋" w:cs="仿宋"/>
          <w:kern w:val="2"/>
          <w:sz w:val="24"/>
          <w:u w:val="single"/>
          <w:lang w:val="en-US" w:eastAsia="zh-CN"/>
        </w:rPr>
        <w:t xml:space="preserve"> </w:t>
      </w:r>
      <w:r>
        <w:rPr>
          <w:rFonts w:hint="eastAsia" w:ascii="仿宋" w:hAnsi="仿宋" w:eastAsia="仿宋" w:cs="仿宋"/>
          <w:kern w:val="2"/>
          <w:sz w:val="24"/>
          <w:lang w:eastAsia="zh-CN"/>
        </w:rPr>
        <w:t>日内向甲方开具并送达本条款第1</w:t>
      </w:r>
      <w:r>
        <w:rPr>
          <w:rFonts w:hint="eastAsia" w:ascii="仿宋" w:hAnsi="仿宋" w:eastAsia="仿宋" w:cs="仿宋"/>
          <w:kern w:val="2"/>
          <w:sz w:val="24"/>
          <w:lang w:val="en-US" w:eastAsia="zh-CN"/>
        </w:rPr>
        <w:t>项</w:t>
      </w:r>
      <w:r>
        <w:rPr>
          <w:rFonts w:hint="eastAsia" w:ascii="仿宋" w:hAnsi="仿宋" w:eastAsia="仿宋" w:cs="仿宋"/>
          <w:kern w:val="2"/>
          <w:sz w:val="24"/>
          <w:lang w:eastAsia="zh-CN"/>
        </w:rPr>
        <w:t>款约定的发票，乙方未按该要求开具送达发票的，甲方有权按本</w:t>
      </w:r>
      <w:r>
        <w:rPr>
          <w:rFonts w:hint="default" w:ascii="仿宋" w:hAnsi="仿宋" w:eastAsia="仿宋" w:cs="仿宋"/>
          <w:kern w:val="2"/>
          <w:sz w:val="24"/>
          <w:lang w:val="en-US" w:eastAsia="zh-CN"/>
        </w:rPr>
        <w:t>条</w:t>
      </w:r>
      <w:r>
        <w:rPr>
          <w:rFonts w:hint="eastAsia" w:ascii="仿宋" w:hAnsi="仿宋" w:eastAsia="仿宋" w:cs="仿宋"/>
          <w:kern w:val="2"/>
          <w:sz w:val="24"/>
          <w:lang w:val="en-US" w:eastAsia="zh-CN"/>
        </w:rPr>
        <w:t>款</w:t>
      </w:r>
      <w:r>
        <w:rPr>
          <w:rFonts w:hint="eastAsia" w:ascii="仿宋" w:hAnsi="仿宋" w:eastAsia="仿宋" w:cs="仿宋"/>
          <w:kern w:val="2"/>
          <w:sz w:val="24"/>
          <w:lang w:eastAsia="zh-CN"/>
        </w:rPr>
        <w:t>第2</w:t>
      </w:r>
      <w:r>
        <w:rPr>
          <w:rFonts w:hint="default" w:ascii="仿宋" w:hAnsi="仿宋" w:eastAsia="仿宋" w:cs="仿宋"/>
          <w:kern w:val="2"/>
          <w:sz w:val="24"/>
          <w:lang w:val="en-US" w:eastAsia="zh-CN"/>
        </w:rPr>
        <w:t>款</w:t>
      </w:r>
      <w:r>
        <w:rPr>
          <w:rFonts w:hint="eastAsia" w:ascii="仿宋" w:hAnsi="仿宋" w:eastAsia="仿宋" w:cs="仿宋"/>
          <w:kern w:val="2"/>
          <w:sz w:val="24"/>
          <w:lang w:val="en-US" w:eastAsia="zh-CN"/>
        </w:rPr>
        <w:t>项</w:t>
      </w:r>
      <w:r>
        <w:rPr>
          <w:rFonts w:hint="eastAsia" w:ascii="仿宋" w:hAnsi="仿宋" w:eastAsia="仿宋" w:cs="仿宋"/>
          <w:kern w:val="2"/>
          <w:sz w:val="24"/>
          <w:lang w:eastAsia="zh-CN"/>
        </w:rPr>
        <w:t>约定向乙方主张违约责任。</w:t>
      </w:r>
    </w:p>
    <w:p w14:paraId="6DA3FD10">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五）禁止乙方通过任何形式虚报交货数量或价格。如经甲方审计发现前述问题，甲方有权要求乙方支付虚报金额双倍的违约金；如涉及金额较大，甲方将采取包括向公安部门进行刑事报案等在内的措施以保护甲方合法权益。</w:t>
      </w:r>
    </w:p>
    <w:p w14:paraId="56D63440">
      <w:pPr>
        <w:framePr w:wrap="auto" w:vAnchor="margin" w:hAnchor="text" w:yAlign="inline"/>
        <w:widowControl w:val="0"/>
        <w:spacing w:line="360" w:lineRule="auto"/>
        <w:ind w:firstLine="480" w:firstLineChars="200"/>
        <w:jc w:val="both"/>
        <w:rPr>
          <w:rFonts w:hint="eastAsia" w:ascii="仿宋" w:hAnsi="仿宋" w:eastAsia="仿宋" w:cs="仿宋"/>
          <w:b/>
          <w:bCs/>
          <w:color w:val="auto"/>
          <w:kern w:val="2"/>
          <w:sz w:val="24"/>
          <w:lang w:eastAsia="zh-CN"/>
        </w:rPr>
      </w:pPr>
      <w:r>
        <w:rPr>
          <w:rFonts w:hint="eastAsia" w:ascii="仿宋" w:hAnsi="仿宋" w:eastAsia="仿宋" w:cs="仿宋"/>
          <w:color w:val="auto"/>
          <w:kern w:val="2"/>
          <w:sz w:val="24"/>
          <w:lang w:eastAsia="zh-CN"/>
        </w:rPr>
        <w:t>（六）</w:t>
      </w:r>
      <w:r>
        <w:rPr>
          <w:rFonts w:hint="eastAsia" w:ascii="仿宋" w:hAnsi="仿宋" w:eastAsia="仿宋" w:cs="仿宋"/>
          <w:b/>
          <w:bCs/>
          <w:color w:val="auto"/>
          <w:kern w:val="2"/>
          <w:sz w:val="24"/>
          <w:lang w:eastAsia="zh-CN"/>
        </w:rPr>
        <w:t>如实际送货金额超过合同总价的</w:t>
      </w:r>
      <w:r>
        <w:rPr>
          <w:rFonts w:hint="eastAsia" w:ascii="仿宋" w:hAnsi="仿宋" w:eastAsia="仿宋" w:cs="仿宋"/>
          <w:b/>
          <w:bCs/>
          <w:color w:val="auto"/>
          <w:kern w:val="2"/>
          <w:sz w:val="24"/>
          <w:lang w:val="en-US" w:eastAsia="zh-CN"/>
        </w:rPr>
        <w:t xml:space="preserve">  </w:t>
      </w:r>
      <w:r>
        <w:rPr>
          <w:rFonts w:hint="eastAsia" w:ascii="仿宋" w:hAnsi="仿宋" w:eastAsia="仿宋" w:cs="仿宋"/>
          <w:b/>
          <w:bCs/>
          <w:color w:val="auto"/>
          <w:kern w:val="2"/>
          <w:sz w:val="24"/>
          <w:lang w:eastAsia="zh-CN"/>
        </w:rPr>
        <w:t>%，则乙方须在送货前向甲方书面申请签订补充协议，若没有签订补充协议，甲方有权拒绝支付超出原合同送货材料款，乙方不得以此为由向甲方主张付款违约的责任。</w:t>
      </w:r>
    </w:p>
    <w:p w14:paraId="574CFE78">
      <w:pPr>
        <w:framePr w:wrap="auto" w:vAnchor="margin" w:hAnchor="text" w:yAlign="inline"/>
        <w:widowControl w:val="0"/>
        <w:spacing w:line="360" w:lineRule="auto"/>
        <w:ind w:firstLine="482" w:firstLineChars="200"/>
        <w:jc w:val="both"/>
        <w:rPr>
          <w:rFonts w:hint="eastAsia" w:ascii="仿宋" w:hAnsi="仿宋" w:eastAsia="仿宋" w:cs="仿宋"/>
          <w:color w:val="auto"/>
          <w:kern w:val="0"/>
          <w:sz w:val="24"/>
          <w:lang w:eastAsia="zh-CN"/>
        </w:rPr>
      </w:pPr>
      <w:r>
        <w:rPr>
          <w:rFonts w:hint="eastAsia" w:ascii="仿宋" w:hAnsi="仿宋" w:eastAsia="仿宋" w:cs="仿宋"/>
          <w:b/>
          <w:color w:val="auto"/>
          <w:kern w:val="0"/>
          <w:sz w:val="24"/>
          <w:lang w:eastAsia="zh-CN"/>
        </w:rPr>
        <w:t>第六条 违约责任</w:t>
      </w:r>
      <w:r>
        <w:rPr>
          <w:rFonts w:hint="eastAsia" w:ascii="仿宋" w:hAnsi="仿宋" w:eastAsia="仿宋" w:cs="仿宋"/>
          <w:color w:val="auto"/>
          <w:kern w:val="0"/>
          <w:sz w:val="24"/>
          <w:lang w:eastAsia="zh-CN"/>
        </w:rPr>
        <w:t xml:space="preserve"> </w:t>
      </w:r>
    </w:p>
    <w:p w14:paraId="497C4DE1">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iCs/>
          <w:color w:val="auto"/>
          <w:kern w:val="0"/>
          <w:sz w:val="24"/>
          <w:lang w:eastAsia="zh-CN"/>
        </w:rPr>
      </w:pPr>
      <w:r>
        <w:rPr>
          <w:rFonts w:hint="eastAsia" w:ascii="仿宋" w:hAnsi="仿宋" w:eastAsia="仿宋" w:cs="仿宋"/>
          <w:color w:val="auto"/>
          <w:kern w:val="0"/>
          <w:sz w:val="24"/>
          <w:lang w:eastAsia="zh-CN"/>
        </w:rPr>
        <w:t>（一）乙方必须按本合同约定供货，如因交货延迟导致的甲方停工损失及建设单位等第三方对甲方的罚款等相关损失均由乙方承担，并且乙方须按迟延供货货款的日千分之三向甲方支付违约金；如供货迟延达[七]日以上或</w:t>
      </w:r>
      <w:r>
        <w:rPr>
          <w:rFonts w:hint="eastAsia" w:ascii="仿宋" w:hAnsi="仿宋" w:eastAsia="仿宋" w:cs="仿宋"/>
          <w:iCs/>
          <w:color w:val="auto"/>
          <w:kern w:val="0"/>
          <w:sz w:val="24"/>
          <w:lang w:eastAsia="zh-CN"/>
        </w:rPr>
        <w:t>乙方的迟延交货将致使甲方合同目的难以实现或将不可避免地损害甲方利益的</w:t>
      </w:r>
      <w:r>
        <w:rPr>
          <w:rFonts w:hint="eastAsia" w:ascii="仿宋" w:hAnsi="仿宋" w:eastAsia="仿宋" w:cs="仿宋"/>
          <w:color w:val="auto"/>
          <w:kern w:val="0"/>
          <w:sz w:val="24"/>
          <w:lang w:eastAsia="zh-CN"/>
        </w:rPr>
        <w:t>，乙方还须按合同总金额</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eastAsia="zh-CN"/>
        </w:rPr>
        <w:t>%向甲方支付违约金，并且甲方有权解除合同。</w:t>
      </w:r>
    </w:p>
    <w:p w14:paraId="1EC25BD2">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lang w:eastAsia="zh-CN"/>
        </w:rPr>
      </w:pPr>
      <w:r>
        <w:rPr>
          <w:rFonts w:hint="eastAsia" w:ascii="仿宋" w:hAnsi="仿宋" w:eastAsia="仿宋" w:cs="仿宋"/>
          <w:color w:val="auto"/>
          <w:kern w:val="2"/>
          <w:sz w:val="24"/>
          <w:lang w:eastAsia="zh-CN"/>
        </w:rPr>
        <w:t>（二）如产品质量验收不合格，则乙方须在甲方规定的时间内无条件退换或修复，并承担由此发生的一切费用，如因此对甲方造成损失的，乙方须全额赔偿（包括诉讼费、律师费）；如拒不退换或修复的，甲方有权拒绝支付货款，且乙方须按与不合格产品数量等同的合格产品总金额的</w:t>
      </w:r>
      <w:r>
        <w:rPr>
          <w:rFonts w:hint="eastAsia" w:ascii="仿宋" w:hAnsi="仿宋" w:eastAsia="仿宋" w:cs="仿宋"/>
          <w:color w:val="auto"/>
          <w:kern w:val="2"/>
          <w:sz w:val="24"/>
          <w:lang w:val="en-US" w:eastAsia="zh-CN"/>
        </w:rPr>
        <w:t xml:space="preserve">  </w:t>
      </w:r>
      <w:r>
        <w:rPr>
          <w:rFonts w:hint="eastAsia" w:ascii="仿宋" w:hAnsi="仿宋" w:eastAsia="仿宋" w:cs="仿宋"/>
          <w:color w:val="auto"/>
          <w:kern w:val="2"/>
          <w:sz w:val="24"/>
          <w:lang w:eastAsia="zh-CN"/>
        </w:rPr>
        <w:t>倍向甲方支付违约金。</w:t>
      </w:r>
    </w:p>
    <w:p w14:paraId="1DA1257E">
      <w:pPr>
        <w:framePr w:wrap="auto" w:vAnchor="margin" w:hAnchor="text" w:yAlign="inline"/>
        <w:widowControl w:val="0"/>
        <w:spacing w:line="360" w:lineRule="auto"/>
        <w:ind w:firstLine="480" w:firstLineChars="200"/>
        <w:jc w:val="both"/>
        <w:rPr>
          <w:rFonts w:hint="eastAsia" w:ascii="仿宋" w:hAnsi="仿宋" w:eastAsia="仿宋" w:cs="仿宋"/>
          <w:color w:val="auto"/>
          <w:kern w:val="2"/>
          <w:sz w:val="24"/>
          <w:lang w:eastAsia="zh-CN"/>
        </w:rPr>
      </w:pPr>
      <w:r>
        <w:rPr>
          <w:rFonts w:hint="eastAsia" w:ascii="仿宋" w:hAnsi="仿宋" w:eastAsia="仿宋" w:cs="仿宋"/>
          <w:bCs/>
          <w:color w:val="auto"/>
          <w:kern w:val="2"/>
          <w:sz w:val="24"/>
          <w:lang w:eastAsia="zh-CN"/>
        </w:rPr>
        <w:t>（三）一方违约而向另一方承担违约责任后，另一方仍有权要求违约方继续履行本合同，但合同另有约定的除外。符合法律规定的不可抗力事件</w:t>
      </w:r>
      <w:r>
        <w:rPr>
          <w:rFonts w:hint="eastAsia" w:ascii="仿宋" w:hAnsi="仿宋" w:eastAsia="仿宋" w:cs="仿宋"/>
          <w:color w:val="auto"/>
          <w:kern w:val="2"/>
          <w:sz w:val="24"/>
          <w:lang w:eastAsia="zh-CN"/>
        </w:rPr>
        <w:t>导致的部分违约可免责，但一方迟延履行后出现不可抗力事件的除外。</w:t>
      </w:r>
    </w:p>
    <w:p w14:paraId="6D953037">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bCs/>
          <w:color w:val="auto"/>
          <w:kern w:val="2"/>
          <w:sz w:val="24"/>
          <w:lang w:eastAsia="zh-CN"/>
        </w:rPr>
      </w:pPr>
      <w:r>
        <w:rPr>
          <w:rFonts w:hint="eastAsia" w:ascii="仿宋" w:hAnsi="仿宋" w:eastAsia="仿宋" w:cs="仿宋"/>
          <w:color w:val="auto"/>
          <w:kern w:val="2"/>
          <w:sz w:val="24"/>
          <w:lang w:eastAsia="zh-CN"/>
        </w:rPr>
        <w:t>（四）</w:t>
      </w:r>
      <w:r>
        <w:rPr>
          <w:rFonts w:hint="eastAsia" w:ascii="仿宋" w:hAnsi="仿宋" w:eastAsia="仿宋" w:cs="仿宋"/>
          <w:bCs/>
          <w:color w:val="auto"/>
          <w:kern w:val="2"/>
          <w:sz w:val="24"/>
          <w:lang w:eastAsia="zh-CN"/>
        </w:rPr>
        <w:t>若乙方在付款条件未成就的情况下，向甲方索要货款或对甲方提起诉讼或对甲方财产进行诉讼保全的，乙方应按货款总额的</w:t>
      </w:r>
      <w:r>
        <w:rPr>
          <w:rFonts w:hint="eastAsia" w:ascii="仿宋" w:hAnsi="仿宋" w:eastAsia="仿宋" w:cs="仿宋"/>
          <w:bCs/>
          <w:color w:val="auto"/>
          <w:kern w:val="2"/>
          <w:sz w:val="24"/>
          <w:lang w:val="en-US" w:eastAsia="zh-CN"/>
        </w:rPr>
        <w:t xml:space="preserve">   </w:t>
      </w:r>
      <w:r>
        <w:rPr>
          <w:rFonts w:hint="eastAsia" w:ascii="仿宋" w:hAnsi="仿宋" w:eastAsia="仿宋" w:cs="仿宋"/>
          <w:bCs/>
          <w:color w:val="auto"/>
          <w:kern w:val="2"/>
          <w:sz w:val="24"/>
          <w:lang w:eastAsia="zh-CN"/>
        </w:rPr>
        <w:t>%向甲方支付违约金且应承担甲方因此所产生的损失[包括但不限于诉讼费、律师费（含法务费）、差旅费、调查取证费等</w:t>
      </w:r>
      <w:r>
        <w:rPr>
          <w:rFonts w:hint="eastAsia" w:ascii="仿宋" w:hAnsi="仿宋" w:eastAsia="仿宋" w:cs="仿宋"/>
          <w:color w:val="auto"/>
          <w:kern w:val="0"/>
          <w:sz w:val="24"/>
          <w:lang w:eastAsia="zh-CN"/>
        </w:rPr>
        <w:t>]</w:t>
      </w:r>
      <w:r>
        <w:rPr>
          <w:rFonts w:hint="eastAsia" w:ascii="仿宋" w:hAnsi="仿宋" w:eastAsia="仿宋" w:cs="仿宋"/>
          <w:bCs/>
          <w:color w:val="auto"/>
          <w:kern w:val="2"/>
          <w:sz w:val="24"/>
          <w:lang w:eastAsia="zh-CN"/>
        </w:rPr>
        <w:t>。</w:t>
      </w:r>
    </w:p>
    <w:p w14:paraId="60A32C26">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bCs/>
          <w:color w:val="auto"/>
          <w:kern w:val="2"/>
          <w:sz w:val="24"/>
          <w:lang w:eastAsia="zh-CN"/>
        </w:rPr>
      </w:pPr>
      <w:r>
        <w:rPr>
          <w:rFonts w:hint="eastAsia" w:ascii="仿宋" w:hAnsi="仿宋" w:eastAsia="仿宋" w:cs="仿宋"/>
          <w:bCs/>
          <w:color w:val="auto"/>
          <w:kern w:val="2"/>
          <w:sz w:val="24"/>
          <w:lang w:eastAsia="zh-CN"/>
        </w:rPr>
        <w:t>（五）</w:t>
      </w:r>
      <w:r>
        <w:rPr>
          <w:rFonts w:hint="eastAsia" w:ascii="仿宋" w:hAnsi="仿宋" w:eastAsia="仿宋" w:cs="仿宋"/>
          <w:color w:val="auto"/>
          <w:kern w:val="2"/>
          <w:sz w:val="24"/>
          <w:lang w:eastAsia="zh-CN"/>
        </w:rPr>
        <w:t>乙方不得以任何理由去甲方及业主办公场所、项目现场、政府相关部门实施包括围堵、静坐、示威、游行等在内的</w:t>
      </w:r>
      <w:r>
        <w:rPr>
          <w:rFonts w:hint="eastAsia" w:ascii="仿宋" w:hAnsi="仿宋" w:eastAsia="仿宋" w:cs="仿宋"/>
          <w:bCs/>
          <w:color w:val="auto"/>
          <w:kern w:val="2"/>
          <w:sz w:val="24"/>
          <w:lang w:eastAsia="zh-CN"/>
        </w:rPr>
        <w:t>不利于甲方正常有序的办公或施工秩序或不利于甲方企业形象等在内的</w:t>
      </w:r>
      <w:r>
        <w:rPr>
          <w:rFonts w:hint="eastAsia" w:ascii="仿宋" w:hAnsi="仿宋" w:eastAsia="仿宋" w:cs="仿宋"/>
          <w:bCs/>
          <w:color w:val="auto"/>
          <w:kern w:val="2"/>
          <w:sz w:val="24"/>
          <w:lang w:val="en-US" w:eastAsia="zh-CN"/>
        </w:rPr>
        <w:t>行为</w:t>
      </w:r>
      <w:r>
        <w:rPr>
          <w:rFonts w:hint="eastAsia" w:ascii="仿宋" w:hAnsi="仿宋" w:eastAsia="仿宋" w:cs="仿宋"/>
          <w:bCs/>
          <w:color w:val="auto"/>
          <w:kern w:val="2"/>
          <w:sz w:val="24"/>
          <w:lang w:eastAsia="zh-CN"/>
        </w:rPr>
        <w:t>，或向建设单位或相关政府部门进行上访或投诉</w:t>
      </w:r>
      <w:r>
        <w:rPr>
          <w:rFonts w:hint="eastAsia" w:ascii="仿宋" w:hAnsi="仿宋" w:eastAsia="仿宋" w:cs="仿宋"/>
          <w:color w:val="auto"/>
          <w:kern w:val="2"/>
          <w:sz w:val="24"/>
          <w:lang w:eastAsia="zh-CN"/>
        </w:rPr>
        <w:t>，否则乙方须无条件承担本合同金额的</w:t>
      </w:r>
      <w:r>
        <w:rPr>
          <w:rFonts w:hint="eastAsia" w:ascii="仿宋" w:hAnsi="仿宋" w:eastAsia="仿宋" w:cs="仿宋"/>
          <w:color w:val="auto"/>
          <w:kern w:val="2"/>
          <w:sz w:val="24"/>
          <w:lang w:val="en-US" w:eastAsia="zh-CN"/>
        </w:rPr>
        <w:t xml:space="preserve">   </w:t>
      </w:r>
      <w:r>
        <w:rPr>
          <w:rFonts w:hint="eastAsia" w:ascii="仿宋" w:hAnsi="仿宋" w:eastAsia="仿宋" w:cs="仿宋"/>
          <w:color w:val="auto"/>
          <w:kern w:val="2"/>
          <w:sz w:val="24"/>
          <w:lang w:eastAsia="zh-CN"/>
        </w:rPr>
        <w:t>%的违约金且应承担甲方因此产生的损失[</w:t>
      </w:r>
      <w:r>
        <w:rPr>
          <w:rFonts w:hint="eastAsia" w:ascii="仿宋" w:hAnsi="仿宋" w:eastAsia="仿宋" w:cs="仿宋"/>
          <w:bCs/>
          <w:color w:val="auto"/>
          <w:kern w:val="2"/>
          <w:sz w:val="24"/>
          <w:lang w:eastAsia="zh-CN"/>
        </w:rPr>
        <w:t>包括但不限于律师费（法务费）、差旅费、调查取证费、诉讼费等</w:t>
      </w:r>
      <w:r>
        <w:rPr>
          <w:rFonts w:hint="eastAsia" w:ascii="仿宋" w:hAnsi="仿宋" w:eastAsia="仿宋" w:cs="仿宋"/>
          <w:color w:val="auto"/>
          <w:kern w:val="0"/>
          <w:sz w:val="24"/>
          <w:lang w:eastAsia="zh-CN"/>
        </w:rPr>
        <w:t>]</w:t>
      </w:r>
      <w:r>
        <w:rPr>
          <w:rFonts w:hint="eastAsia" w:ascii="仿宋" w:hAnsi="仿宋" w:eastAsia="仿宋" w:cs="仿宋"/>
          <w:color w:val="auto"/>
          <w:kern w:val="2"/>
          <w:sz w:val="24"/>
          <w:lang w:eastAsia="zh-CN"/>
        </w:rPr>
        <w:t>。</w:t>
      </w:r>
    </w:p>
    <w:p w14:paraId="317E01A0">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b/>
          <w:kern w:val="0"/>
          <w:sz w:val="24"/>
          <w:lang w:eastAsia="zh-CN"/>
        </w:rPr>
      </w:pPr>
      <w:r>
        <w:rPr>
          <w:rFonts w:hint="eastAsia" w:ascii="仿宋" w:hAnsi="仿宋" w:eastAsia="仿宋" w:cs="仿宋"/>
          <w:b/>
          <w:kern w:val="0"/>
          <w:sz w:val="24"/>
          <w:lang w:eastAsia="zh-CN"/>
        </w:rPr>
        <w:t>第七条 其他约定事项</w:t>
      </w:r>
    </w:p>
    <w:p w14:paraId="2C5DD3F4">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一）乙方为依法成立并有效存续且具有独立民事权利能力及民事行为能力的主体。乙方承诺其经营的合法性，乙方保证其在本合同的履行期限内具有合法有效的签约资格和持续可靠的履约能力，并拥有向甲方销售本合同项下货物所需的一切有关的内外部授权、批准或许可。如因乙方业务合法性等原因造成甲方损失的，由乙方承担全部责任。</w:t>
      </w:r>
    </w:p>
    <w:p w14:paraId="370AD218">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0"/>
          <w:sz w:val="24"/>
          <w:lang w:eastAsia="zh-CN"/>
        </w:rPr>
      </w:pPr>
      <w:r>
        <w:rPr>
          <w:rFonts w:hint="eastAsia" w:ascii="仿宋" w:hAnsi="仿宋" w:eastAsia="仿宋" w:cs="仿宋"/>
          <w:kern w:val="0"/>
          <w:sz w:val="24"/>
          <w:lang w:eastAsia="zh-CN"/>
        </w:rPr>
        <w:t>（二）如因乙方原因要求变更合同，应取得甲方书面同意，且甲方有权扣除合同总金额的</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%作为违约金。</w:t>
      </w:r>
    </w:p>
    <w:p w14:paraId="67EF769D">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b/>
          <w:kern w:val="0"/>
          <w:sz w:val="24"/>
          <w:lang w:eastAsia="zh-CN"/>
        </w:rPr>
      </w:pPr>
      <w:r>
        <w:rPr>
          <w:rFonts w:hint="eastAsia" w:ascii="仿宋" w:hAnsi="仿宋" w:eastAsia="仿宋" w:cs="仿宋"/>
          <w:bCs/>
          <w:kern w:val="0"/>
          <w:sz w:val="24"/>
          <w:lang w:eastAsia="zh-CN"/>
        </w:rPr>
        <w:t>（三）双方确定，仅加盖甲方公章的合同代表甲方的意思表示，甲方的项目部或项目部人员或员工个人均不具有代表甲方对外签订合同、对账确认及结算货款的权利，乙方与甲方的项目部或员工个人签订的任何合同、结算单等（不论是否加盖项目部印章、是否有项目经理签字），均不代表甲方作出的意思表示，对甲方不具有任何约束力。乙方根据未加盖甲方公章的合同向甲方项目经理或项目部供货的，乙方确认与其存在合同关系的为该项目经理个人，属项目经理个人行为（非职务行为），乙方无条件接受甲方对此类合同不承担任何支付责任，因此导致的所有损失均由乙方承担。</w:t>
      </w:r>
    </w:p>
    <w:p w14:paraId="25AFF298">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四）基于本合同项下事宜有关的通知、信息、文件资料等可以采用特快专递的方式，发往合同尾部列明的双方通知地址。任何一方改变通讯地址及联络方式，应在改变前的72小时内书面通知对方。在该书面变更通知到达对方前，对方发往变更前的通讯地址的通知或函件仍为有效。如果以专人递交方式送达，以收件人接收（签字）时为送达时间；如果以邮寄方式（含特快专递）送达，并且邮资已付，则邮寄后的第3个工作日为送达时间。</w:t>
      </w:r>
    </w:p>
    <w:p w14:paraId="60337158">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b/>
          <w:kern w:val="0"/>
          <w:sz w:val="24"/>
          <w:lang w:eastAsia="zh-CN"/>
        </w:rPr>
      </w:pPr>
      <w:r>
        <w:rPr>
          <w:rFonts w:hint="eastAsia" w:ascii="仿宋" w:hAnsi="仿宋" w:eastAsia="仿宋" w:cs="仿宋"/>
          <w:b/>
          <w:kern w:val="0"/>
          <w:sz w:val="24"/>
          <w:lang w:eastAsia="zh-CN"/>
        </w:rPr>
        <w:t>第八条 争议解决方式</w:t>
      </w:r>
    </w:p>
    <w:p w14:paraId="056E5686">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（一）本合同在履行过程中如发生任何争议，应优先由双方通过友好协商解决，达成一致书面意见作为合同的附件。</w:t>
      </w:r>
    </w:p>
    <w:p w14:paraId="51D84988">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（二）如协商不能解决全部争议时，双方均同意将争议依法向项目工程所在地有管辖权的人民法院提起诉讼。</w:t>
      </w:r>
    </w:p>
    <w:p w14:paraId="43C6DF5A">
      <w:pPr>
        <w:framePr w:wrap="auto" w:vAnchor="margin" w:hAnchor="text" w:yAlign="inline"/>
        <w:widowControl/>
        <w:shd w:val="clear" w:color="auto" w:fill="FFFFFF"/>
        <w:spacing w:line="360" w:lineRule="auto"/>
        <w:ind w:firstLine="482" w:firstLineChars="200"/>
        <w:jc w:val="both"/>
        <w:rPr>
          <w:rFonts w:hint="eastAsia" w:ascii="仿宋" w:hAnsi="仿宋" w:eastAsia="仿宋" w:cs="仿宋"/>
          <w:kern w:val="0"/>
          <w:sz w:val="24"/>
          <w:lang w:eastAsia="zh-CN"/>
        </w:rPr>
      </w:pPr>
      <w:r>
        <w:rPr>
          <w:rFonts w:hint="eastAsia" w:ascii="仿宋" w:hAnsi="仿宋" w:eastAsia="仿宋" w:cs="仿宋"/>
          <w:b/>
          <w:kern w:val="0"/>
          <w:sz w:val="24"/>
          <w:lang w:eastAsia="zh-CN"/>
        </w:rPr>
        <w:t>第九条 合同生效</w:t>
      </w:r>
      <w:r>
        <w:rPr>
          <w:rFonts w:hint="eastAsia" w:ascii="仿宋" w:hAnsi="仿宋" w:eastAsia="仿宋" w:cs="仿宋"/>
          <w:kern w:val="0"/>
          <w:sz w:val="24"/>
          <w:lang w:eastAsia="zh-CN"/>
        </w:rPr>
        <w:t xml:space="preserve">                  </w:t>
      </w:r>
    </w:p>
    <w:p w14:paraId="125CA2C0">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0"/>
          <w:sz w:val="24"/>
          <w:lang w:eastAsia="zh-CN"/>
        </w:rPr>
      </w:pPr>
      <w:r>
        <w:rPr>
          <w:rFonts w:hint="eastAsia" w:ascii="仿宋" w:hAnsi="仿宋" w:eastAsia="仿宋" w:cs="仿宋"/>
          <w:kern w:val="0"/>
          <w:sz w:val="24"/>
          <w:lang w:eastAsia="zh-CN"/>
        </w:rPr>
        <w:t>（一）本合同经甲乙双方企业法定代表人或授权代理人签字并加盖公章后生效</w:t>
      </w:r>
      <w:r>
        <w:rPr>
          <w:rFonts w:hint="eastAsia" w:ascii="仿宋" w:hAnsi="仿宋" w:eastAsia="仿宋" w:cs="仿宋"/>
          <w:b/>
          <w:kern w:val="0"/>
          <w:sz w:val="24"/>
          <w:lang w:eastAsia="zh-CN"/>
        </w:rPr>
        <w:t>（项目章无效）</w:t>
      </w:r>
      <w:r>
        <w:rPr>
          <w:rFonts w:hint="eastAsia" w:ascii="仿宋" w:hAnsi="仿宋" w:eastAsia="仿宋" w:cs="仿宋"/>
          <w:kern w:val="0"/>
          <w:sz w:val="24"/>
          <w:lang w:eastAsia="zh-CN"/>
        </w:rPr>
        <w:t>。</w:t>
      </w:r>
    </w:p>
    <w:p w14:paraId="5BBAE2F9">
      <w:pPr>
        <w:framePr w:wrap="auto" w:vAnchor="margin" w:hAnchor="text" w:yAlign="inline"/>
        <w:widowControl w:val="0"/>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2"/>
          <w:sz w:val="24"/>
          <w:lang w:eastAsia="zh-CN"/>
        </w:rPr>
        <w:t>（二）本合同一式</w:t>
      </w:r>
      <w:r>
        <w:rPr>
          <w:rFonts w:hint="eastAsia" w:ascii="仿宋" w:hAnsi="仿宋" w:eastAsia="仿宋" w:cs="仿宋"/>
          <w:kern w:val="0"/>
          <w:sz w:val="24"/>
          <w:u w:val="single"/>
          <w:lang w:val="en-US" w:eastAsia="zh-CN"/>
        </w:rPr>
        <w:t xml:space="preserve">   </w:t>
      </w:r>
      <w:r>
        <w:rPr>
          <w:rFonts w:hint="eastAsia" w:ascii="仿宋" w:hAnsi="仿宋" w:eastAsia="仿宋" w:cs="仿宋"/>
          <w:kern w:val="2"/>
          <w:sz w:val="24"/>
          <w:u w:val="single"/>
          <w:lang w:eastAsia="zh-CN"/>
        </w:rPr>
        <w:t xml:space="preserve"> </w:t>
      </w:r>
      <w:r>
        <w:rPr>
          <w:rFonts w:hint="eastAsia" w:ascii="仿宋" w:hAnsi="仿宋" w:eastAsia="仿宋" w:cs="仿宋"/>
          <w:kern w:val="2"/>
          <w:sz w:val="24"/>
          <w:lang w:eastAsia="zh-CN"/>
        </w:rPr>
        <w:t>份，甲方执</w:t>
      </w:r>
      <w:r>
        <w:rPr>
          <w:rFonts w:hint="eastAsia" w:ascii="仿宋" w:hAnsi="仿宋" w:eastAsia="仿宋" w:cs="仿宋"/>
          <w:kern w:val="0"/>
          <w:sz w:val="24"/>
          <w:u w:val="single"/>
          <w:lang w:val="en-US" w:eastAsia="zh-CN"/>
        </w:rPr>
        <w:t xml:space="preserve">   </w:t>
      </w:r>
      <w:r>
        <w:rPr>
          <w:rFonts w:hint="eastAsia" w:ascii="仿宋" w:hAnsi="仿宋" w:eastAsia="仿宋" w:cs="仿宋"/>
          <w:kern w:val="2"/>
          <w:sz w:val="24"/>
          <w:u w:val="single"/>
          <w:lang w:eastAsia="zh-CN"/>
        </w:rPr>
        <w:t xml:space="preserve"> </w:t>
      </w:r>
      <w:r>
        <w:rPr>
          <w:rFonts w:hint="eastAsia" w:ascii="仿宋" w:hAnsi="仿宋" w:eastAsia="仿宋" w:cs="仿宋"/>
          <w:kern w:val="2"/>
          <w:sz w:val="24"/>
          <w:lang w:eastAsia="zh-CN"/>
        </w:rPr>
        <w:t>份，乙方执</w:t>
      </w:r>
      <w:r>
        <w:rPr>
          <w:rFonts w:hint="eastAsia" w:ascii="仿宋" w:hAnsi="仿宋" w:eastAsia="仿宋" w:cs="仿宋"/>
          <w:kern w:val="0"/>
          <w:sz w:val="24"/>
          <w:u w:val="single"/>
          <w:lang w:val="en-US" w:eastAsia="zh-CN"/>
        </w:rPr>
        <w:t xml:space="preserve">  </w:t>
      </w:r>
      <w:r>
        <w:rPr>
          <w:rFonts w:hint="eastAsia" w:ascii="仿宋" w:hAnsi="仿宋" w:eastAsia="仿宋" w:cs="仿宋"/>
          <w:kern w:val="2"/>
          <w:sz w:val="24"/>
          <w:u w:val="single"/>
          <w:lang w:eastAsia="zh-CN"/>
        </w:rPr>
        <w:t xml:space="preserve"> </w:t>
      </w:r>
      <w:r>
        <w:rPr>
          <w:rFonts w:hint="eastAsia" w:ascii="仿宋" w:hAnsi="仿宋" w:eastAsia="仿宋" w:cs="仿宋"/>
          <w:kern w:val="2"/>
          <w:sz w:val="24"/>
          <w:lang w:eastAsia="zh-CN"/>
        </w:rPr>
        <w:t>份，具有同等的法律效力；。</w:t>
      </w:r>
    </w:p>
    <w:p w14:paraId="5A4CA191">
      <w:pPr>
        <w:framePr w:wrap="auto" w:vAnchor="margin" w:hAnchor="text" w:yAlign="inline"/>
        <w:widowControl/>
        <w:shd w:val="clear" w:color="auto" w:fill="FFFFFF"/>
        <w:spacing w:line="360" w:lineRule="auto"/>
        <w:ind w:firstLine="480" w:firstLineChars="200"/>
        <w:jc w:val="both"/>
        <w:rPr>
          <w:rFonts w:hint="eastAsia" w:ascii="仿宋" w:hAnsi="仿宋" w:eastAsia="仿宋" w:cs="仿宋"/>
          <w:kern w:val="2"/>
          <w:sz w:val="24"/>
          <w:lang w:eastAsia="zh-CN"/>
        </w:rPr>
      </w:pPr>
      <w:r>
        <w:rPr>
          <w:rFonts w:hint="eastAsia" w:ascii="仿宋" w:hAnsi="仿宋" w:eastAsia="仿宋" w:cs="仿宋"/>
          <w:kern w:val="0"/>
          <w:sz w:val="24"/>
          <w:lang w:eastAsia="zh-CN"/>
        </w:rPr>
        <w:t>（三）</w:t>
      </w:r>
      <w:r>
        <w:rPr>
          <w:rFonts w:hint="eastAsia" w:ascii="仿宋" w:hAnsi="仿宋" w:eastAsia="仿宋" w:cs="仿宋"/>
          <w:kern w:val="2"/>
          <w:sz w:val="24"/>
          <w:lang w:eastAsia="zh-CN"/>
        </w:rPr>
        <w:t>本合同未尽事宜由双方另行协商解决，协商一致达成的书面变更或补充协议作为本合同附件，具有同等法律效力。</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3"/>
      </w:tblGrid>
      <w:tr w14:paraId="5E91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4473" w:type="dxa"/>
            <w:noWrap w:val="0"/>
            <w:vAlign w:val="top"/>
          </w:tcPr>
          <w:p w14:paraId="3234C32C">
            <w:pPr>
              <w:framePr w:wrap="auto" w:vAnchor="margin" w:hAnchor="text" w:yAlign="inline"/>
              <w:widowControl w:val="0"/>
              <w:spacing w:line="400" w:lineRule="exact"/>
              <w:ind w:left="1920" w:hanging="1920" w:hangingChars="800"/>
              <w:jc w:val="both"/>
              <w:rPr>
                <w:rFonts w:hint="eastAsia" w:ascii="仿宋" w:hAnsi="仿宋" w:eastAsia="仿宋" w:cs="Times New Roman"/>
                <w:color w:val="auto"/>
                <w:kern w:val="2"/>
                <w:sz w:val="24"/>
                <w:highlight w:val="none"/>
                <w:u w:val="none"/>
                <w:lang w:val="en-US" w:eastAsia="zh-CN"/>
              </w:rPr>
            </w:pPr>
            <w:r>
              <w:rPr>
                <w:rFonts w:hint="eastAsia" w:ascii="仿宋" w:hAnsi="仿宋" w:eastAsia="仿宋" w:cs="Times New Roman"/>
                <w:color w:val="auto"/>
                <w:kern w:val="2"/>
                <w:sz w:val="24"/>
                <w:highlight w:val="none"/>
                <w:lang w:eastAsia="zh-CN"/>
              </w:rPr>
              <w:t>甲  方：</w:t>
            </w:r>
            <w:r>
              <w:rPr>
                <w:rFonts w:hint="eastAsia" w:ascii="仿宋" w:hAnsi="仿宋" w:eastAsia="仿宋" w:cs="Times New Roman"/>
                <w:color w:val="auto"/>
                <w:kern w:val="2"/>
                <w:sz w:val="24"/>
                <w:highlight w:val="none"/>
                <w:u w:val="none"/>
                <w:lang w:val="en-US" w:eastAsia="zh-CN"/>
              </w:rPr>
              <w:t xml:space="preserve">       </w:t>
            </w:r>
          </w:p>
          <w:p w14:paraId="62A7DB40">
            <w:pPr>
              <w:framePr w:wrap="auto" w:vAnchor="margin" w:hAnchor="text" w:yAlign="inline"/>
              <w:widowControl w:val="0"/>
              <w:spacing w:line="400" w:lineRule="exact"/>
              <w:jc w:val="both"/>
              <w:rPr>
                <w:rFonts w:hint="eastAsia" w:ascii="仿宋" w:hAnsi="仿宋" w:eastAsia="仿宋" w:cs="Times New Roman"/>
                <w:color w:val="auto"/>
                <w:kern w:val="2"/>
                <w:sz w:val="36"/>
                <w:szCs w:val="36"/>
                <w:highlight w:val="none"/>
                <w:vertAlign w:val="baseline"/>
                <w:lang w:eastAsia="zh-CN"/>
              </w:rPr>
            </w:pPr>
            <w:r>
              <w:rPr>
                <w:rFonts w:hint="eastAsia" w:ascii="仿宋" w:hAnsi="仿宋" w:eastAsia="仿宋" w:cs="Times New Roman"/>
                <w:color w:val="auto"/>
                <w:kern w:val="2"/>
                <w:sz w:val="24"/>
                <w:highlight w:val="none"/>
                <w:u w:val="none"/>
                <w:lang w:val="en-US" w:eastAsia="zh-CN"/>
              </w:rPr>
              <w:t>（盖章）</w:t>
            </w:r>
          </w:p>
        </w:tc>
        <w:tc>
          <w:tcPr>
            <w:tcW w:w="4473" w:type="dxa"/>
            <w:noWrap w:val="0"/>
            <w:vAlign w:val="top"/>
          </w:tcPr>
          <w:p w14:paraId="3524B3CB">
            <w:pPr>
              <w:framePr w:wrap="auto" w:vAnchor="margin" w:hAnchor="text" w:yAlign="inline"/>
              <w:widowControl w:val="0"/>
              <w:autoSpaceDE w:val="0"/>
              <w:autoSpaceDN w:val="0"/>
              <w:spacing w:line="360" w:lineRule="auto"/>
              <w:jc w:val="left"/>
              <w:rPr>
                <w:rFonts w:hint="eastAsia" w:ascii="仿宋" w:hAnsi="仿宋" w:eastAsia="仿宋" w:cs="仿宋"/>
                <w:color w:val="auto"/>
                <w:kern w:val="0"/>
                <w:sz w:val="24"/>
                <w:highlight w:val="none"/>
                <w:u w:val="none"/>
                <w:lang w:val="en-US" w:eastAsia="zh-CN"/>
              </w:rPr>
            </w:pPr>
            <w:r>
              <w:rPr>
                <w:rFonts w:hint="eastAsia" w:ascii="仿宋" w:hAnsi="仿宋" w:eastAsia="仿宋" w:cs="Times New Roman"/>
                <w:color w:val="auto"/>
                <w:kern w:val="2"/>
                <w:sz w:val="24"/>
                <w:highlight w:val="none"/>
                <w:lang w:eastAsia="zh-CN"/>
              </w:rPr>
              <w:t>乙  方：</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eastAsia="zh-CN"/>
              </w:rPr>
              <w:t xml:space="preserve"> </w:t>
            </w:r>
          </w:p>
          <w:p w14:paraId="4F3B8D8C">
            <w:pPr>
              <w:framePr w:wrap="auto" w:vAnchor="margin" w:hAnchor="text" w:yAlign="inline"/>
              <w:widowControl w:val="0"/>
              <w:spacing w:line="400" w:lineRule="exact"/>
              <w:jc w:val="both"/>
              <w:rPr>
                <w:rFonts w:hint="eastAsia" w:ascii="仿宋" w:hAnsi="仿宋" w:eastAsia="仿宋" w:cs="Times New Roman"/>
                <w:color w:val="auto"/>
                <w:kern w:val="2"/>
                <w:sz w:val="36"/>
                <w:szCs w:val="36"/>
                <w:highlight w:val="none"/>
                <w:vertAlign w:val="baseline"/>
                <w:lang w:eastAsia="zh-CN"/>
              </w:rPr>
            </w:pPr>
            <w:r>
              <w:rPr>
                <w:rFonts w:hint="eastAsia" w:ascii="仿宋" w:hAnsi="仿宋" w:eastAsia="仿宋" w:cs="Times New Roman"/>
                <w:color w:val="auto"/>
                <w:kern w:val="2"/>
                <w:sz w:val="24"/>
                <w:highlight w:val="none"/>
                <w:u w:val="none"/>
                <w:lang w:val="en-US" w:eastAsia="zh-CN"/>
              </w:rPr>
              <w:t>（盖章）</w:t>
            </w:r>
          </w:p>
        </w:tc>
      </w:tr>
      <w:tr w14:paraId="4369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3" w:type="dxa"/>
            <w:noWrap w:val="0"/>
            <w:vAlign w:val="top"/>
          </w:tcPr>
          <w:p w14:paraId="0C7FAE38">
            <w:pPr>
              <w:framePr w:wrap="auto" w:vAnchor="margin" w:hAnchor="text" w:yAlign="inline"/>
              <w:widowControl w:val="0"/>
              <w:spacing w:line="400" w:lineRule="exact"/>
              <w:jc w:val="both"/>
              <w:rPr>
                <w:rFonts w:hint="eastAsia" w:ascii="仿宋" w:hAnsi="仿宋" w:eastAsia="仿宋" w:cs="Times New Roman"/>
                <w:color w:val="auto"/>
                <w:kern w:val="2"/>
                <w:sz w:val="36"/>
                <w:szCs w:val="36"/>
                <w:highlight w:val="none"/>
                <w:vertAlign w:val="baseline"/>
                <w:lang w:eastAsia="zh-CN"/>
              </w:rPr>
            </w:pPr>
            <w:r>
              <w:rPr>
                <w:rFonts w:hint="eastAsia" w:ascii="仿宋" w:hAnsi="仿宋" w:eastAsia="仿宋" w:cs="Times New Roman"/>
                <w:color w:val="auto"/>
                <w:kern w:val="2"/>
                <w:sz w:val="24"/>
                <w:highlight w:val="none"/>
                <w:lang w:eastAsia="zh-CN"/>
              </w:rPr>
              <w:t>法定代表人：(签字)</w:t>
            </w:r>
          </w:p>
        </w:tc>
        <w:tc>
          <w:tcPr>
            <w:tcW w:w="4473" w:type="dxa"/>
            <w:noWrap w:val="0"/>
            <w:vAlign w:val="top"/>
          </w:tcPr>
          <w:p w14:paraId="0BB3FC01">
            <w:pPr>
              <w:framePr w:wrap="auto" w:vAnchor="margin" w:hAnchor="text" w:yAlign="inline"/>
              <w:widowControl w:val="0"/>
              <w:spacing w:line="400" w:lineRule="exact"/>
              <w:jc w:val="both"/>
              <w:rPr>
                <w:rFonts w:hint="eastAsia" w:ascii="仿宋" w:hAnsi="仿宋" w:eastAsia="仿宋" w:cs="Times New Roman"/>
                <w:color w:val="auto"/>
                <w:kern w:val="2"/>
                <w:sz w:val="36"/>
                <w:szCs w:val="36"/>
                <w:highlight w:val="none"/>
                <w:vertAlign w:val="baseline"/>
                <w:lang w:eastAsia="zh-CN"/>
              </w:rPr>
            </w:pPr>
            <w:r>
              <w:rPr>
                <w:rFonts w:hint="eastAsia" w:ascii="仿宋" w:hAnsi="仿宋" w:eastAsia="仿宋" w:cs="Times New Roman"/>
                <w:color w:val="auto"/>
                <w:kern w:val="2"/>
                <w:sz w:val="24"/>
                <w:highlight w:val="none"/>
                <w:lang w:eastAsia="zh-CN"/>
              </w:rPr>
              <w:t>法定代表人：(签字)</w:t>
            </w:r>
          </w:p>
        </w:tc>
      </w:tr>
      <w:tr w14:paraId="2AB8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473" w:type="dxa"/>
            <w:noWrap w:val="0"/>
            <w:vAlign w:val="top"/>
          </w:tcPr>
          <w:p w14:paraId="58FC525C">
            <w:pPr>
              <w:framePr w:wrap="auto" w:vAnchor="margin" w:hAnchor="text" w:yAlign="inline"/>
              <w:widowControl w:val="0"/>
              <w:spacing w:line="400" w:lineRule="exact"/>
              <w:jc w:val="both"/>
              <w:rPr>
                <w:rFonts w:hint="eastAsia" w:ascii="仿宋" w:hAnsi="仿宋" w:eastAsia="仿宋" w:cs="Times New Roman"/>
                <w:color w:val="auto"/>
                <w:kern w:val="2"/>
                <w:sz w:val="36"/>
                <w:szCs w:val="36"/>
                <w:highlight w:val="none"/>
                <w:vertAlign w:val="baseline"/>
                <w:lang w:eastAsia="zh-CN"/>
              </w:rPr>
            </w:pPr>
            <w:r>
              <w:rPr>
                <w:rFonts w:hint="eastAsia" w:ascii="仿宋" w:hAnsi="仿宋" w:eastAsia="仿宋" w:cs="Times New Roman"/>
                <w:color w:val="auto"/>
                <w:kern w:val="2"/>
                <w:sz w:val="24"/>
                <w:highlight w:val="none"/>
                <w:lang w:val="en-US" w:eastAsia="zh-CN"/>
              </w:rPr>
              <w:t>或</w:t>
            </w:r>
            <w:r>
              <w:rPr>
                <w:rFonts w:hint="eastAsia" w:ascii="仿宋" w:hAnsi="仿宋" w:eastAsia="仿宋" w:cs="仿宋"/>
                <w:color w:val="auto"/>
                <w:kern w:val="0"/>
                <w:sz w:val="24"/>
                <w:highlight w:val="none"/>
                <w:lang w:eastAsia="zh-CN"/>
              </w:rPr>
              <w:t>授权</w:t>
            </w:r>
            <w:r>
              <w:rPr>
                <w:rFonts w:hint="eastAsia" w:ascii="仿宋" w:hAnsi="仿宋" w:eastAsia="仿宋" w:cs="Times New Roman"/>
                <w:color w:val="auto"/>
                <w:kern w:val="2"/>
                <w:sz w:val="24"/>
                <w:highlight w:val="none"/>
                <w:lang w:eastAsia="zh-CN"/>
              </w:rPr>
              <w:t>代理人：(签字)</w:t>
            </w:r>
          </w:p>
        </w:tc>
        <w:tc>
          <w:tcPr>
            <w:tcW w:w="4473" w:type="dxa"/>
            <w:noWrap w:val="0"/>
            <w:vAlign w:val="top"/>
          </w:tcPr>
          <w:p w14:paraId="5080FBBB">
            <w:pPr>
              <w:framePr w:wrap="auto" w:vAnchor="margin" w:hAnchor="text" w:yAlign="inline"/>
              <w:widowControl w:val="0"/>
              <w:spacing w:line="400" w:lineRule="exact"/>
              <w:jc w:val="both"/>
              <w:rPr>
                <w:rFonts w:hint="eastAsia" w:ascii="仿宋" w:hAnsi="仿宋" w:eastAsia="仿宋" w:cs="Times New Roman"/>
                <w:color w:val="auto"/>
                <w:kern w:val="2"/>
                <w:sz w:val="36"/>
                <w:szCs w:val="36"/>
                <w:highlight w:val="none"/>
                <w:vertAlign w:val="baseline"/>
                <w:lang w:eastAsia="zh-CN"/>
              </w:rPr>
            </w:pPr>
            <w:r>
              <w:rPr>
                <w:rFonts w:hint="eastAsia" w:ascii="仿宋" w:hAnsi="仿宋" w:eastAsia="仿宋" w:cs="Times New Roman"/>
                <w:color w:val="auto"/>
                <w:kern w:val="2"/>
                <w:sz w:val="24"/>
                <w:highlight w:val="none"/>
                <w:lang w:val="en-US" w:eastAsia="zh-CN"/>
              </w:rPr>
              <w:t>或</w:t>
            </w:r>
            <w:r>
              <w:rPr>
                <w:rFonts w:hint="eastAsia" w:ascii="仿宋" w:hAnsi="仿宋" w:eastAsia="仿宋" w:cs="仿宋"/>
                <w:color w:val="auto"/>
                <w:kern w:val="0"/>
                <w:sz w:val="24"/>
                <w:highlight w:val="none"/>
                <w:lang w:eastAsia="zh-CN"/>
              </w:rPr>
              <w:t>授权</w:t>
            </w:r>
            <w:r>
              <w:rPr>
                <w:rFonts w:hint="eastAsia" w:ascii="仿宋" w:hAnsi="仿宋" w:eastAsia="仿宋" w:cs="Times New Roman"/>
                <w:color w:val="auto"/>
                <w:kern w:val="2"/>
                <w:sz w:val="24"/>
                <w:highlight w:val="none"/>
                <w:lang w:eastAsia="zh-CN"/>
              </w:rPr>
              <w:t>代理人：(签字)</w:t>
            </w:r>
          </w:p>
        </w:tc>
      </w:tr>
      <w:tr w14:paraId="1277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4C2347D3">
            <w:pPr>
              <w:framePr w:wrap="auto" w:vAnchor="margin" w:hAnchor="text" w:yAlign="inline"/>
              <w:widowControl w:val="0"/>
              <w:spacing w:line="400" w:lineRule="exact"/>
              <w:jc w:val="both"/>
              <w:rPr>
                <w:rFonts w:hint="eastAsia" w:ascii="仿宋" w:hAnsi="仿宋" w:eastAsia="仿宋" w:cs="Times New Roman"/>
                <w:color w:val="auto"/>
                <w:kern w:val="2"/>
                <w:sz w:val="24"/>
                <w:highlight w:val="none"/>
                <w:lang w:val="en-US" w:eastAsia="zh-CN"/>
              </w:rPr>
            </w:pPr>
            <w:r>
              <w:rPr>
                <w:rFonts w:hint="eastAsia" w:ascii="仿宋" w:hAnsi="仿宋" w:eastAsia="仿宋" w:cs="仿宋"/>
                <w:color w:val="auto"/>
                <w:kern w:val="0"/>
                <w:sz w:val="24"/>
                <w:highlight w:val="none"/>
                <w:lang w:eastAsia="zh-CN"/>
              </w:rPr>
              <w:t>地址：</w:t>
            </w:r>
          </w:p>
        </w:tc>
        <w:tc>
          <w:tcPr>
            <w:tcW w:w="4473" w:type="dxa"/>
            <w:noWrap w:val="0"/>
            <w:vAlign w:val="top"/>
          </w:tcPr>
          <w:p w14:paraId="2006000E">
            <w:pPr>
              <w:framePr w:wrap="auto" w:vAnchor="margin" w:hAnchor="text" w:yAlign="inline"/>
              <w:widowControl/>
              <w:spacing w:line="440" w:lineRule="exact"/>
              <w:jc w:val="left"/>
              <w:rPr>
                <w:rFonts w:hint="default" w:ascii="仿宋" w:hAnsi="仿宋" w:eastAsia="仿宋" w:cs="Times New Roman"/>
                <w:color w:val="auto"/>
                <w:kern w:val="2"/>
                <w:sz w:val="24"/>
                <w:highlight w:val="none"/>
                <w:lang w:val="en-US" w:eastAsia="zh-CN"/>
              </w:rPr>
            </w:pPr>
            <w:r>
              <w:rPr>
                <w:rFonts w:hint="eastAsia" w:ascii="仿宋" w:hAnsi="仿宋" w:eastAsia="仿宋" w:cs="仿宋"/>
                <w:color w:val="auto"/>
                <w:kern w:val="0"/>
                <w:sz w:val="24"/>
                <w:highlight w:val="none"/>
                <w:lang w:eastAsia="zh-CN"/>
              </w:rPr>
              <w:t>地址：</w:t>
            </w:r>
          </w:p>
        </w:tc>
      </w:tr>
      <w:tr w14:paraId="3906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7F7BA730">
            <w:pPr>
              <w:framePr w:wrap="auto" w:vAnchor="margin" w:hAnchor="text" w:yAlign="inline"/>
              <w:widowControl w:val="0"/>
              <w:spacing w:line="400" w:lineRule="exact"/>
              <w:jc w:val="both"/>
              <w:rPr>
                <w:rFonts w:hint="eastAsia" w:ascii="仿宋" w:hAnsi="仿宋" w:eastAsia="仿宋" w:cs="Times New Roman"/>
                <w:color w:val="auto"/>
                <w:kern w:val="2"/>
                <w:sz w:val="24"/>
                <w:highlight w:val="none"/>
                <w:lang w:eastAsia="zh-CN"/>
              </w:rPr>
            </w:pPr>
          </w:p>
        </w:tc>
        <w:tc>
          <w:tcPr>
            <w:tcW w:w="4473" w:type="dxa"/>
            <w:noWrap w:val="0"/>
            <w:vAlign w:val="top"/>
          </w:tcPr>
          <w:p w14:paraId="0BF2612D">
            <w:pPr>
              <w:framePr w:wrap="auto" w:vAnchor="margin" w:hAnchor="text" w:yAlign="inline"/>
              <w:widowControl w:val="0"/>
              <w:spacing w:line="400" w:lineRule="exact"/>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highlight w:val="none"/>
                <w:lang w:eastAsia="zh-CN"/>
              </w:rPr>
              <w:t>开户银行：</w:t>
            </w:r>
          </w:p>
        </w:tc>
      </w:tr>
      <w:tr w14:paraId="5088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78B76402">
            <w:pPr>
              <w:framePr w:wrap="auto" w:vAnchor="margin" w:hAnchor="text" w:yAlign="inline"/>
              <w:widowControl w:val="0"/>
              <w:spacing w:line="400" w:lineRule="exact"/>
              <w:jc w:val="both"/>
              <w:rPr>
                <w:rFonts w:hint="eastAsia" w:ascii="仿宋" w:hAnsi="仿宋" w:eastAsia="仿宋" w:cs="Times New Roman"/>
                <w:color w:val="auto"/>
                <w:kern w:val="2"/>
                <w:sz w:val="24"/>
                <w:highlight w:val="none"/>
                <w:lang w:eastAsia="zh-CN"/>
              </w:rPr>
            </w:pPr>
          </w:p>
        </w:tc>
        <w:tc>
          <w:tcPr>
            <w:tcW w:w="4473" w:type="dxa"/>
            <w:noWrap w:val="0"/>
            <w:vAlign w:val="top"/>
          </w:tcPr>
          <w:p w14:paraId="30373663">
            <w:pPr>
              <w:framePr w:wrap="auto" w:vAnchor="margin" w:hAnchor="text" w:yAlign="inline"/>
              <w:widowControl/>
              <w:spacing w:line="440" w:lineRule="exact"/>
              <w:ind w:left="240" w:hanging="240" w:hangingChars="100"/>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0"/>
                <w:sz w:val="24"/>
                <w:highlight w:val="none"/>
                <w:lang w:eastAsia="zh-CN"/>
              </w:rPr>
              <w:t>账号：</w:t>
            </w:r>
          </w:p>
        </w:tc>
      </w:tr>
      <w:tr w14:paraId="275C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62926C28">
            <w:pPr>
              <w:framePr w:wrap="auto" w:vAnchor="margin" w:hAnchor="text" w:yAlign="inline"/>
              <w:widowControl w:val="0"/>
              <w:spacing w:line="400" w:lineRule="exact"/>
              <w:jc w:val="both"/>
              <w:rPr>
                <w:rFonts w:hint="eastAsia" w:ascii="仿宋" w:hAnsi="仿宋" w:eastAsia="仿宋" w:cs="Times New Roman"/>
                <w:color w:val="auto"/>
                <w:kern w:val="2"/>
                <w:sz w:val="24"/>
                <w:highlight w:val="none"/>
                <w:lang w:eastAsia="zh-CN"/>
              </w:rPr>
            </w:pPr>
          </w:p>
        </w:tc>
        <w:tc>
          <w:tcPr>
            <w:tcW w:w="4473" w:type="dxa"/>
            <w:noWrap w:val="0"/>
            <w:vAlign w:val="top"/>
          </w:tcPr>
          <w:p w14:paraId="776A48FB">
            <w:pPr>
              <w:framePr w:wrap="auto" w:vAnchor="margin" w:hAnchor="text" w:yAlign="inline"/>
              <w:widowControl/>
              <w:spacing w:line="440" w:lineRule="exact"/>
              <w:jc w:val="left"/>
              <w:rPr>
                <w:rFonts w:hint="eastAsia" w:ascii="仿宋" w:hAnsi="仿宋" w:eastAsia="仿宋" w:cs="Times New Roman"/>
                <w:color w:val="auto"/>
                <w:kern w:val="2"/>
                <w:sz w:val="24"/>
                <w:highlight w:val="none"/>
                <w:lang w:eastAsia="zh-CN"/>
              </w:rPr>
            </w:pPr>
            <w:r>
              <w:rPr>
                <w:rFonts w:hint="eastAsia" w:ascii="仿宋" w:hAnsi="仿宋" w:eastAsia="仿宋" w:cs="仿宋"/>
                <w:color w:val="auto"/>
                <w:kern w:val="0"/>
                <w:sz w:val="24"/>
                <w:highlight w:val="none"/>
                <w:lang w:eastAsia="zh-CN"/>
              </w:rPr>
              <w:t>纳税人识别号：</w:t>
            </w:r>
          </w:p>
        </w:tc>
      </w:tr>
      <w:tr w14:paraId="4A21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04AD3392">
            <w:pPr>
              <w:framePr w:wrap="auto" w:vAnchor="margin" w:hAnchor="text" w:yAlign="inline"/>
              <w:widowControl w:val="0"/>
              <w:spacing w:line="400" w:lineRule="exact"/>
              <w:jc w:val="both"/>
              <w:rPr>
                <w:rFonts w:hint="eastAsia" w:ascii="仿宋" w:hAnsi="仿宋" w:eastAsia="仿宋" w:cs="Times New Roman"/>
                <w:color w:val="auto"/>
                <w:kern w:val="2"/>
                <w:sz w:val="24"/>
                <w:szCs w:val="24"/>
                <w:highlight w:val="none"/>
                <w:lang w:val="en-US" w:eastAsia="zh-CN" w:bidi="ar-SA"/>
              </w:rPr>
            </w:pPr>
          </w:p>
        </w:tc>
        <w:tc>
          <w:tcPr>
            <w:tcW w:w="4473" w:type="dxa"/>
            <w:noWrap w:val="0"/>
            <w:vAlign w:val="top"/>
          </w:tcPr>
          <w:p w14:paraId="504ED080">
            <w:pPr>
              <w:framePr w:wrap="auto" w:vAnchor="margin" w:hAnchor="text" w:yAlign="inline"/>
              <w:widowControl/>
              <w:spacing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0"/>
                <w:sz w:val="24"/>
                <w:highlight w:val="none"/>
                <w:lang w:eastAsia="zh-CN"/>
              </w:rPr>
              <w:t>电话：</w:t>
            </w:r>
          </w:p>
        </w:tc>
      </w:tr>
      <w:tr w14:paraId="0649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6AEA289C">
            <w:pPr>
              <w:framePr w:wrap="auto" w:vAnchor="margin" w:hAnchor="text" w:yAlign="inline"/>
              <w:widowControl w:val="0"/>
              <w:spacing w:line="400" w:lineRule="exact"/>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highlight w:val="none"/>
                <w:lang w:eastAsia="zh-CN"/>
              </w:rPr>
              <w:t>签订时间：</w:t>
            </w:r>
            <w:r>
              <w:rPr>
                <w:rFonts w:hint="eastAsia" w:ascii="仿宋" w:hAnsi="仿宋" w:eastAsia="仿宋" w:cs="Times New Roman"/>
                <w:color w:val="auto"/>
                <w:kern w:val="2"/>
                <w:sz w:val="24"/>
                <w:highlight w:val="none"/>
                <w:lang w:val="en-US" w:eastAsia="zh-CN"/>
              </w:rPr>
              <w:t xml:space="preserve">   年    月   日</w:t>
            </w:r>
            <w:r>
              <w:rPr>
                <w:rFonts w:hint="eastAsia" w:ascii="仿宋" w:hAnsi="仿宋" w:eastAsia="仿宋" w:cs="Times New Roman"/>
                <w:color w:val="auto"/>
                <w:kern w:val="2"/>
                <w:sz w:val="24"/>
                <w:highlight w:val="none"/>
                <w:lang w:eastAsia="zh-CN"/>
              </w:rPr>
              <w:t xml:space="preserve"> </w:t>
            </w:r>
          </w:p>
        </w:tc>
        <w:tc>
          <w:tcPr>
            <w:tcW w:w="4473" w:type="dxa"/>
            <w:noWrap w:val="0"/>
            <w:vAlign w:val="top"/>
          </w:tcPr>
          <w:p w14:paraId="7CF29234">
            <w:pPr>
              <w:framePr w:wrap="auto" w:vAnchor="margin" w:hAnchor="text" w:yAlign="inline"/>
              <w:widowControl w:val="0"/>
              <w:spacing w:line="400" w:lineRule="exact"/>
              <w:jc w:val="both"/>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highlight w:val="none"/>
                <w:lang w:eastAsia="zh-CN"/>
              </w:rPr>
              <w:t>签订时间：</w:t>
            </w:r>
            <w:r>
              <w:rPr>
                <w:rFonts w:hint="eastAsia" w:ascii="仿宋" w:hAnsi="仿宋" w:eastAsia="仿宋" w:cs="Times New Roman"/>
                <w:color w:val="auto"/>
                <w:kern w:val="2"/>
                <w:sz w:val="24"/>
                <w:highlight w:val="none"/>
                <w:lang w:val="en-US" w:eastAsia="zh-CN"/>
              </w:rPr>
              <w:t xml:space="preserve">    年    月    日</w:t>
            </w:r>
          </w:p>
        </w:tc>
      </w:tr>
    </w:tbl>
    <w:p w14:paraId="0C585DD6">
      <w:pPr>
        <w:framePr w:wrap="auto" w:vAnchor="margin" w:hAnchor="text" w:yAlign="inline"/>
        <w:rPr>
          <w:rFonts w:hint="eastAsia" w:ascii="仿宋" w:hAnsi="仿宋" w:eastAsia="仿宋"/>
          <w:color w:val="auto"/>
          <w:kern w:val="21"/>
          <w:sz w:val="36"/>
          <w:highlight w:val="none"/>
          <w:lang w:eastAsia="zh-CN"/>
        </w:rPr>
      </w:pPr>
      <w:r>
        <w:rPr>
          <w:rFonts w:hint="eastAsia" w:ascii="仿宋" w:hAnsi="仿宋" w:eastAsia="仿宋"/>
          <w:color w:val="auto"/>
          <w:kern w:val="21"/>
          <w:sz w:val="36"/>
          <w:highlight w:val="none"/>
          <w:lang w:eastAsia="zh-CN"/>
        </w:rPr>
        <w:br w:type="page"/>
      </w:r>
    </w:p>
    <w:p w14:paraId="7B6563A1">
      <w:pPr>
        <w:framePr w:wrap="auto" w:vAnchor="margin" w:hAnchor="text" w:yAlign="inline"/>
        <w:rPr>
          <w:rFonts w:hint="eastAsia" w:ascii="宋体" w:hAnsi="宋体" w:eastAsia="宋体" w:cs="宋体"/>
          <w:b/>
          <w:bCs/>
          <w:color w:val="auto"/>
          <w:sz w:val="32"/>
          <w:szCs w:val="32"/>
          <w:highlight w:val="none"/>
          <w:lang w:val="en-US" w:eastAsia="zh-CN"/>
        </w:rPr>
        <w:sectPr>
          <w:headerReference r:id="rId6" w:type="default"/>
          <w:footerReference r:id="rId7" w:type="default"/>
          <w:pgSz w:w="11900" w:h="16840"/>
          <w:pgMar w:top="1440" w:right="1803" w:bottom="1440" w:left="1803" w:header="851" w:footer="992" w:gutter="0"/>
          <w:pgBorders>
            <w:top w:val="none" w:sz="0" w:space="0"/>
            <w:left w:val="none" w:sz="0" w:space="0"/>
            <w:bottom w:val="none" w:sz="0" w:space="0"/>
            <w:right w:val="none" w:sz="0" w:space="0"/>
          </w:pgBorders>
          <w:pgNumType w:fmt="decimal" w:start="14"/>
          <w:cols w:space="0" w:num="1"/>
          <w:rtlGutter w:val="0"/>
          <w:docGrid w:linePitch="0" w:charSpace="0"/>
        </w:sectPr>
      </w:pPr>
    </w:p>
    <w:p w14:paraId="191D4072">
      <w:pPr>
        <w:framePr w:wrap="auto" w:vAnchor="margin" w:hAnchor="text" w:yAlign="inline"/>
        <w:rPr>
          <w:rFonts w:hint="eastAsia" w:ascii="宋体" w:hAnsi="宋体" w:eastAsia="宋体" w:cs="宋体"/>
          <w:b/>
          <w:bCs/>
          <w:color w:val="auto"/>
          <w:sz w:val="32"/>
          <w:szCs w:val="32"/>
          <w:highlight w:val="none"/>
          <w:lang w:val="en-US" w:eastAsia="zh-CN"/>
        </w:rPr>
      </w:pPr>
    </w:p>
    <w:p w14:paraId="7173E966">
      <w:pPr>
        <w:keepNext w:val="0"/>
        <w:keepLines/>
        <w:pageBreakBefore w:val="0"/>
        <w:framePr w:wrap="auto" w:vAnchor="margin" w:hAnchor="text" w:yAlign="inline"/>
        <w:widowControl/>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2"/>
          <w:szCs w:val="32"/>
          <w:highlight w:val="none"/>
          <w:lang w:val="en-US" w:eastAsia="zh-CN"/>
        </w:rPr>
      </w:pPr>
      <w:bookmarkStart w:id="22" w:name="_Toc1013"/>
      <w:bookmarkStart w:id="27" w:name="_GoBack"/>
      <w:bookmarkEnd w:id="27"/>
      <w:r>
        <w:rPr>
          <w:rFonts w:hint="eastAsia" w:ascii="宋体" w:hAnsi="宋体" w:eastAsia="宋体" w:cs="宋体"/>
          <w:b/>
          <w:bCs/>
          <w:color w:val="auto"/>
          <w:sz w:val="32"/>
          <w:szCs w:val="32"/>
          <w:highlight w:val="none"/>
          <w:lang w:val="en-US" w:eastAsia="zh-CN"/>
        </w:rPr>
        <w:t>第六部分  响应文件格式</w:t>
      </w:r>
      <w:bookmarkEnd w:id="21"/>
      <w:bookmarkEnd w:id="22"/>
    </w:p>
    <w:p w14:paraId="32D94E6D">
      <w:pPr>
        <w:pStyle w:val="31"/>
        <w:framePr w:wrap="auto" w:vAnchor="margin" w:hAnchor="text" w:yAlign="inline"/>
        <w:wordWrap w:val="0"/>
        <w:adjustRightInd w:val="0"/>
        <w:snapToGrid w:val="0"/>
        <w:spacing w:line="360" w:lineRule="auto"/>
        <w:jc w:val="center"/>
        <w:rPr>
          <w:rFonts w:hint="eastAsia" w:ascii="宋体" w:hAnsi="宋体" w:eastAsia="宋体" w:cs="宋体"/>
          <w:color w:val="auto"/>
          <w:sz w:val="44"/>
          <w:szCs w:val="44"/>
          <w:highlight w:val="none"/>
          <w:lang w:val="en-US" w:eastAsia="zh-CN"/>
        </w:rPr>
      </w:pPr>
    </w:p>
    <w:p w14:paraId="1A605519">
      <w:pPr>
        <w:pStyle w:val="31"/>
        <w:framePr w:wrap="auto" w:vAnchor="margin" w:hAnchor="text" w:yAlign="inline"/>
        <w:wordWrap w:val="0"/>
        <w:adjustRightInd w:val="0"/>
        <w:snapToGrid w:val="0"/>
        <w:spacing w:line="360" w:lineRule="auto"/>
        <w:jc w:val="center"/>
        <w:rPr>
          <w:rFonts w:hint="eastAsia" w:ascii="宋体" w:hAnsi="宋体" w:eastAsia="宋体" w:cs="宋体"/>
          <w:color w:val="auto"/>
          <w:sz w:val="44"/>
          <w:szCs w:val="44"/>
          <w:highlight w:val="none"/>
          <w:lang w:val="en-US" w:eastAsia="zh-CN"/>
        </w:rPr>
      </w:pPr>
    </w:p>
    <w:p w14:paraId="0E01C65B">
      <w:pPr>
        <w:pStyle w:val="31"/>
        <w:framePr w:wrap="auto" w:vAnchor="margin" w:hAnchor="text" w:yAlign="inline"/>
        <w:wordWrap w:val="0"/>
        <w:adjustRightInd w:val="0"/>
        <w:snapToGrid w:val="0"/>
        <w:spacing w:line="360" w:lineRule="auto"/>
        <w:jc w:val="center"/>
        <w:rPr>
          <w:rFonts w:hint="eastAsia" w:ascii="宋体" w:hAnsi="宋体" w:eastAsia="宋体" w:cs="宋体"/>
          <w:b/>
          <w:bCs/>
          <w:color w:val="auto"/>
          <w:sz w:val="36"/>
          <w:szCs w:val="36"/>
          <w:highlight w:val="none"/>
          <w:u w:val="none" w:color="auto"/>
          <w:lang w:val="en-US" w:eastAsia="zh-CN"/>
        </w:rPr>
      </w:pPr>
      <w:r>
        <w:rPr>
          <w:rFonts w:hint="eastAsia" w:ascii="宋体" w:hAnsi="宋体" w:eastAsia="宋体" w:cs="宋体"/>
          <w:b/>
          <w:bCs/>
          <w:color w:val="auto"/>
          <w:sz w:val="36"/>
          <w:szCs w:val="36"/>
          <w:highlight w:val="none"/>
          <w:u w:val="none" w:color="auto"/>
          <w:lang w:val="en-US" w:eastAsia="zh-CN"/>
        </w:rPr>
        <w:t>广东省惠州市惠东县稔山镇蟹洲海堤水闸重建工程（编号04号）阻锈剂防腐剂材料采购</w:t>
      </w:r>
    </w:p>
    <w:p w14:paraId="51D98A10">
      <w:pPr>
        <w:pStyle w:val="31"/>
        <w:framePr w:wrap="auto" w:vAnchor="margin" w:hAnchor="text" w:yAlign="inline"/>
        <w:wordWrap w:val="0"/>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竞价</w:t>
      </w:r>
      <w:r>
        <w:rPr>
          <w:rFonts w:hint="eastAsia" w:ascii="宋体" w:hAnsi="宋体" w:eastAsia="宋体" w:cs="宋体"/>
          <w:b/>
          <w:bCs/>
          <w:color w:val="auto"/>
          <w:sz w:val="36"/>
          <w:szCs w:val="36"/>
          <w:highlight w:val="none"/>
          <w:u w:val="none" w:color="auto"/>
          <w:lang w:val="zh-TW"/>
        </w:rPr>
        <w:t>文件</w:t>
      </w:r>
    </w:p>
    <w:p w14:paraId="1A4599A5">
      <w:pPr>
        <w:pStyle w:val="31"/>
        <w:framePr w:wrap="auto" w:vAnchor="margin" w:hAnchor="text" w:yAlign="inline"/>
        <w:wordWrap w:val="0"/>
        <w:adjustRightInd w:val="0"/>
        <w:snapToGrid w:val="0"/>
        <w:spacing w:line="360" w:lineRule="auto"/>
        <w:ind w:firstLine="2160"/>
        <w:jc w:val="left"/>
        <w:rPr>
          <w:rFonts w:hint="eastAsia" w:ascii="宋体" w:hAnsi="宋体" w:eastAsia="宋体" w:cs="宋体"/>
          <w:color w:val="auto"/>
          <w:sz w:val="36"/>
          <w:szCs w:val="36"/>
          <w:highlight w:val="none"/>
        </w:rPr>
      </w:pPr>
    </w:p>
    <w:p w14:paraId="2C2030B2">
      <w:pPr>
        <w:pStyle w:val="31"/>
        <w:framePr w:wrap="auto" w:vAnchor="margin" w:hAnchor="text" w:yAlign="inline"/>
        <w:wordWrap w:val="0"/>
        <w:adjustRightInd w:val="0"/>
        <w:snapToGrid w:val="0"/>
        <w:spacing w:line="360" w:lineRule="auto"/>
        <w:ind w:left="0" w:leftChars="0" w:firstLine="480" w:firstLineChars="150"/>
        <w:jc w:val="left"/>
        <w:rPr>
          <w:rFonts w:hint="eastAsia" w:ascii="宋体" w:hAnsi="宋体" w:eastAsia="宋体" w:cs="宋体"/>
          <w:color w:val="auto"/>
          <w:sz w:val="32"/>
          <w:szCs w:val="32"/>
          <w:highlight w:val="none"/>
        </w:rPr>
      </w:pPr>
    </w:p>
    <w:p w14:paraId="35AB4D79">
      <w:pPr>
        <w:pStyle w:val="31"/>
        <w:framePr w:wrap="auto" w:vAnchor="margin" w:hAnchor="text" w:yAlign="inline"/>
        <w:wordWrap w:val="0"/>
        <w:adjustRightInd w:val="0"/>
        <w:snapToGrid w:val="0"/>
        <w:spacing w:line="360" w:lineRule="auto"/>
        <w:ind w:left="0" w:leftChars="0" w:firstLine="480" w:firstLineChars="150"/>
        <w:jc w:val="left"/>
        <w:rPr>
          <w:rFonts w:hint="eastAsia" w:ascii="宋体" w:hAnsi="宋体" w:eastAsia="宋体" w:cs="宋体"/>
          <w:color w:val="auto"/>
          <w:sz w:val="32"/>
          <w:szCs w:val="32"/>
          <w:highlight w:val="none"/>
        </w:rPr>
      </w:pPr>
    </w:p>
    <w:p w14:paraId="2D356EB0">
      <w:pPr>
        <w:pStyle w:val="31"/>
        <w:framePr w:wrap="auto" w:vAnchor="margin" w:hAnchor="text" w:yAlign="inline"/>
        <w:wordWrap w:val="0"/>
        <w:adjustRightInd w:val="0"/>
        <w:snapToGrid w:val="0"/>
        <w:spacing w:line="360" w:lineRule="auto"/>
        <w:ind w:left="0" w:leftChars="0" w:firstLine="480" w:firstLineChars="150"/>
        <w:jc w:val="left"/>
        <w:rPr>
          <w:rFonts w:hint="eastAsia" w:ascii="宋体" w:hAnsi="宋体" w:eastAsia="宋体" w:cs="宋体"/>
          <w:color w:val="auto"/>
          <w:sz w:val="32"/>
          <w:szCs w:val="32"/>
          <w:highlight w:val="none"/>
          <w:u w:val="single"/>
          <w:lang w:val="zh-TW"/>
        </w:rPr>
      </w:pPr>
      <w:r>
        <w:rPr>
          <w:rFonts w:hint="eastAsia" w:ascii="宋体" w:hAnsi="宋体" w:eastAsia="宋体" w:cs="宋体"/>
          <w:color w:val="auto"/>
          <w:sz w:val="32"/>
          <w:szCs w:val="32"/>
          <w:highlight w:val="none"/>
        </w:rPr>
        <w:t>响应人名称</w:t>
      </w:r>
      <w:r>
        <w:rPr>
          <w:rFonts w:hint="eastAsia" w:ascii="宋体" w:hAnsi="宋体" w:eastAsia="宋体" w:cs="宋体"/>
          <w:color w:val="auto"/>
          <w:sz w:val="32"/>
          <w:szCs w:val="32"/>
          <w:highlight w:val="none"/>
          <w:lang w:val="zh-TW" w:eastAsia="zh-TW"/>
        </w:rPr>
        <w:t>：</w:t>
      </w:r>
      <w:r>
        <w:rPr>
          <w:rFonts w:hint="eastAsia" w:ascii="宋体" w:hAnsi="宋体" w:eastAsia="宋体" w:cs="宋体"/>
          <w:color w:val="auto"/>
          <w:sz w:val="32"/>
          <w:szCs w:val="32"/>
          <w:highlight w:val="none"/>
          <w:u w:val="single"/>
          <w:lang w:val="zh-TW" w:eastAsia="zh-TW"/>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zh-TW" w:eastAsia="zh-TW"/>
        </w:rPr>
        <w:t xml:space="preserve">   </w:t>
      </w:r>
      <w:r>
        <w:rPr>
          <w:rFonts w:hint="eastAsia" w:ascii="宋体" w:hAnsi="宋体" w:eastAsia="宋体" w:cs="宋体"/>
          <w:color w:val="auto"/>
          <w:sz w:val="32"/>
          <w:szCs w:val="32"/>
          <w:highlight w:val="none"/>
          <w:u w:val="single"/>
        </w:rPr>
        <w:t xml:space="preserve"> </w:t>
      </w:r>
    </w:p>
    <w:p w14:paraId="5B9889D0">
      <w:pPr>
        <w:pStyle w:val="31"/>
        <w:framePr w:wrap="auto" w:vAnchor="margin" w:hAnchor="text" w:yAlign="inline"/>
        <w:wordWrap w:val="0"/>
        <w:adjustRightInd w:val="0"/>
        <w:snapToGrid w:val="0"/>
        <w:spacing w:line="360" w:lineRule="auto"/>
        <w:ind w:left="0" w:leftChars="0" w:firstLine="480" w:firstLineChars="150"/>
        <w:rPr>
          <w:rFonts w:hint="eastAsia" w:ascii="宋体" w:hAnsi="宋体" w:eastAsia="宋体" w:cs="宋体"/>
          <w:color w:val="auto"/>
          <w:sz w:val="32"/>
          <w:szCs w:val="32"/>
          <w:highlight w:val="none"/>
          <w:lang w:eastAsia="zh-TW"/>
        </w:rPr>
      </w:pPr>
      <w:r>
        <w:rPr>
          <w:rFonts w:hint="eastAsia" w:ascii="宋体" w:hAnsi="宋体" w:eastAsia="宋体" w:cs="宋体"/>
          <w:color w:val="auto"/>
          <w:sz w:val="32"/>
          <w:szCs w:val="32"/>
          <w:highlight w:val="none"/>
          <w:lang w:eastAsia="zh-TW"/>
        </w:rPr>
        <w:t>响应人地址：</w:t>
      </w:r>
      <w:r>
        <w:rPr>
          <w:rFonts w:hint="eastAsia" w:ascii="宋体" w:hAnsi="宋体" w:eastAsia="宋体" w:cs="宋体"/>
          <w:color w:val="auto"/>
          <w:sz w:val="32"/>
          <w:szCs w:val="32"/>
          <w:highlight w:val="none"/>
          <w:u w:val="single"/>
          <w:lang w:val="zh-TW" w:eastAsia="zh-TW"/>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zh-TW" w:eastAsia="zh-TW"/>
        </w:rPr>
        <w:t xml:space="preserve">   </w:t>
      </w:r>
      <w:r>
        <w:rPr>
          <w:rFonts w:hint="eastAsia" w:ascii="宋体" w:hAnsi="宋体" w:eastAsia="宋体" w:cs="宋体"/>
          <w:color w:val="auto"/>
          <w:sz w:val="32"/>
          <w:szCs w:val="32"/>
          <w:highlight w:val="none"/>
          <w:u w:val="single"/>
        </w:rPr>
        <w:t xml:space="preserve"> </w:t>
      </w:r>
    </w:p>
    <w:p w14:paraId="251130DC">
      <w:pPr>
        <w:pStyle w:val="31"/>
        <w:framePr w:wrap="auto" w:vAnchor="margin" w:hAnchor="text" w:yAlign="inline"/>
        <w:wordWrap w:val="0"/>
        <w:adjustRightInd w:val="0"/>
        <w:snapToGrid w:val="0"/>
        <w:spacing w:line="360" w:lineRule="auto"/>
        <w:ind w:left="0" w:leftChars="0" w:firstLine="480" w:firstLineChars="150"/>
        <w:rPr>
          <w:rFonts w:hint="eastAsia" w:ascii="宋体" w:hAnsi="宋体" w:eastAsia="宋体" w:cs="宋体"/>
          <w:color w:val="auto"/>
          <w:sz w:val="32"/>
          <w:szCs w:val="32"/>
          <w:highlight w:val="none"/>
          <w:u w:val="single"/>
          <w:lang w:eastAsia="zh-TW"/>
        </w:rPr>
      </w:pPr>
      <w:r>
        <w:rPr>
          <w:rFonts w:hint="eastAsia" w:ascii="宋体" w:hAnsi="宋体" w:eastAsia="宋体" w:cs="宋体"/>
          <w:color w:val="auto"/>
          <w:sz w:val="32"/>
          <w:szCs w:val="32"/>
          <w:highlight w:val="none"/>
          <w:lang w:val="en-US" w:eastAsia="zh-CN"/>
        </w:rPr>
        <w:t>联系人</w:t>
      </w:r>
      <w:r>
        <w:rPr>
          <w:rFonts w:hint="eastAsia" w:ascii="宋体" w:hAnsi="宋体" w:eastAsia="宋体" w:cs="宋体"/>
          <w:color w:val="auto"/>
          <w:sz w:val="32"/>
          <w:szCs w:val="32"/>
          <w:highlight w:val="none"/>
          <w:lang w:eastAsia="zh-TW"/>
        </w:rPr>
        <w:t>：</w:t>
      </w:r>
      <w:r>
        <w:rPr>
          <w:rFonts w:hint="eastAsia" w:ascii="宋体" w:hAnsi="宋体" w:eastAsia="宋体" w:cs="宋体"/>
          <w:color w:val="auto"/>
          <w:sz w:val="32"/>
          <w:szCs w:val="32"/>
          <w:highlight w:val="none"/>
          <w:u w:val="single"/>
          <w:lang w:eastAsia="zh-TW"/>
        </w:rPr>
        <w:t xml:space="preserve">        </w:t>
      </w:r>
    </w:p>
    <w:p w14:paraId="203091A4">
      <w:pPr>
        <w:pStyle w:val="31"/>
        <w:framePr w:wrap="auto" w:vAnchor="margin" w:hAnchor="text" w:yAlign="inline"/>
        <w:wordWrap w:val="0"/>
        <w:adjustRightInd w:val="0"/>
        <w:snapToGrid w:val="0"/>
        <w:spacing w:line="360" w:lineRule="auto"/>
        <w:ind w:firstLine="480" w:firstLineChars="15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联系电话：</w:t>
      </w:r>
      <w:r>
        <w:rPr>
          <w:rFonts w:hint="eastAsia" w:ascii="宋体" w:hAnsi="宋体" w:eastAsia="宋体" w:cs="宋体"/>
          <w:color w:val="auto"/>
          <w:sz w:val="32"/>
          <w:szCs w:val="32"/>
          <w:highlight w:val="none"/>
          <w:u w:val="single"/>
          <w:lang w:val="zh-TW" w:eastAsia="zh-TW"/>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zh-TW" w:eastAsia="zh-TW"/>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p>
    <w:p w14:paraId="2192D9D9">
      <w:pPr>
        <w:pStyle w:val="31"/>
        <w:framePr w:wrap="auto" w:vAnchor="margin" w:hAnchor="text" w:yAlign="inline"/>
        <w:wordWrap w:val="0"/>
        <w:adjustRightInd w:val="0"/>
        <w:snapToGrid w:val="0"/>
        <w:spacing w:line="360" w:lineRule="auto"/>
        <w:ind w:firstLine="480" w:firstLineChars="150"/>
        <w:rPr>
          <w:rFonts w:hint="eastAsia" w:ascii="宋体" w:hAnsi="宋体" w:eastAsia="宋体" w:cs="宋体"/>
          <w:color w:val="auto"/>
          <w:sz w:val="32"/>
          <w:szCs w:val="32"/>
          <w:highlight w:val="none"/>
          <w:lang w:val="zh-TW" w:eastAsia="zh-TW"/>
        </w:rPr>
      </w:pPr>
      <w:r>
        <w:rPr>
          <w:rFonts w:hint="eastAsia" w:ascii="宋体" w:hAnsi="宋体" w:eastAsia="宋体" w:cs="宋体"/>
          <w:color w:val="auto"/>
          <w:sz w:val="32"/>
          <w:szCs w:val="32"/>
          <w:highlight w:val="none"/>
          <w:lang w:val="zh-TW" w:eastAsia="zh-TW"/>
        </w:rPr>
        <w:t>送达响应文件地址：惠州市惠东县惠东大道1212号公路事务养护中心4楼高丰公司</w:t>
      </w:r>
    </w:p>
    <w:p w14:paraId="3DDFCEBD">
      <w:pPr>
        <w:pStyle w:val="31"/>
        <w:framePr w:wrap="auto" w:vAnchor="margin" w:hAnchor="text" w:yAlign="inline"/>
        <w:wordWrap w:val="0"/>
        <w:adjustRightInd w:val="0"/>
        <w:snapToGrid w:val="0"/>
        <w:spacing w:line="360" w:lineRule="auto"/>
        <w:ind w:firstLine="1440"/>
        <w:rPr>
          <w:rFonts w:hint="eastAsia" w:ascii="宋体" w:hAnsi="宋体" w:eastAsia="宋体" w:cs="宋体"/>
          <w:color w:val="auto"/>
          <w:sz w:val="32"/>
          <w:szCs w:val="32"/>
          <w:highlight w:val="none"/>
          <w:lang w:val="zh-TW" w:eastAsia="zh-TW"/>
        </w:rPr>
      </w:pPr>
    </w:p>
    <w:p w14:paraId="5B53CE8A">
      <w:pPr>
        <w:pStyle w:val="31"/>
        <w:framePr w:wrap="auto" w:vAnchor="margin" w:hAnchor="text" w:yAlign="inline"/>
        <w:wordWrap w:val="0"/>
        <w:adjustRightInd w:val="0"/>
        <w:snapToGrid w:val="0"/>
        <w:spacing w:line="360" w:lineRule="auto"/>
        <w:ind w:firstLine="1440"/>
        <w:rPr>
          <w:rFonts w:hint="eastAsia" w:ascii="宋体" w:hAnsi="宋体" w:eastAsia="宋体" w:cs="宋体"/>
          <w:color w:val="auto"/>
          <w:sz w:val="32"/>
          <w:szCs w:val="32"/>
          <w:highlight w:val="none"/>
          <w:lang w:val="zh-TW" w:eastAsia="zh-TW"/>
        </w:rPr>
      </w:pPr>
    </w:p>
    <w:p w14:paraId="37AB8491">
      <w:pPr>
        <w:pStyle w:val="31"/>
        <w:framePr w:wrap="auto" w:vAnchor="margin" w:hAnchor="text" w:yAlign="inline"/>
        <w:wordWrap w:val="0"/>
        <w:adjustRightInd w:val="0"/>
        <w:snapToGrid w:val="0"/>
        <w:spacing w:line="360" w:lineRule="auto"/>
        <w:ind w:left="0" w:leftChars="0" w:firstLine="0" w:firstLineChars="0"/>
        <w:jc w:val="center"/>
        <w:rPr>
          <w:rFonts w:hint="eastAsia" w:ascii="宋体" w:hAnsi="宋体" w:eastAsia="宋体" w:cs="宋体"/>
          <w:color w:val="auto"/>
          <w:sz w:val="32"/>
          <w:szCs w:val="32"/>
          <w:highlight w:val="none"/>
          <w:lang w:val="zh-TW" w:eastAsia="zh-TW"/>
        </w:rPr>
      </w:pPr>
      <w:r>
        <w:rPr>
          <w:rFonts w:hint="eastAsia" w:ascii="宋体" w:hAnsi="宋体" w:eastAsia="宋体" w:cs="宋体"/>
          <w:color w:val="auto"/>
          <w:sz w:val="32"/>
          <w:szCs w:val="32"/>
          <w:highlight w:val="none"/>
          <w:lang w:val="zh-TW" w:eastAsia="zh-TW"/>
        </w:rPr>
        <w:t>在</w:t>
      </w:r>
      <w:r>
        <w:rPr>
          <w:rFonts w:hint="eastAsia" w:ascii="宋体" w:hAnsi="宋体" w:eastAsia="宋体" w:cs="宋体"/>
          <w:color w:val="auto"/>
          <w:sz w:val="32"/>
          <w:szCs w:val="32"/>
          <w:highlight w:val="none"/>
          <w:u w:val="single" w:color="auto"/>
          <w:lang w:val="zh-TW" w:eastAsia="zh-TW"/>
        </w:rPr>
        <w:t xml:space="preserve">      </w:t>
      </w:r>
      <w:r>
        <w:rPr>
          <w:rFonts w:hint="eastAsia" w:ascii="宋体" w:hAnsi="宋体" w:eastAsia="宋体" w:cs="宋体"/>
          <w:color w:val="auto"/>
          <w:sz w:val="32"/>
          <w:szCs w:val="32"/>
          <w:highlight w:val="none"/>
          <w:lang w:val="zh-TW" w:eastAsia="zh-TW"/>
        </w:rPr>
        <w:t>年</w:t>
      </w:r>
      <w:r>
        <w:rPr>
          <w:rFonts w:hint="eastAsia" w:ascii="宋体" w:hAnsi="宋体" w:eastAsia="宋体" w:cs="宋体"/>
          <w:color w:val="auto"/>
          <w:sz w:val="32"/>
          <w:szCs w:val="32"/>
          <w:highlight w:val="none"/>
          <w:u w:val="single" w:color="auto"/>
          <w:lang w:val="zh-TW" w:eastAsia="zh-TW"/>
        </w:rPr>
        <w:t xml:space="preserve">    </w:t>
      </w:r>
      <w:r>
        <w:rPr>
          <w:rFonts w:hint="eastAsia" w:ascii="宋体" w:hAnsi="宋体" w:eastAsia="宋体" w:cs="宋体"/>
          <w:color w:val="auto"/>
          <w:sz w:val="32"/>
          <w:szCs w:val="32"/>
          <w:highlight w:val="none"/>
          <w:lang w:val="zh-TW" w:eastAsia="zh-TW"/>
        </w:rPr>
        <w:t>月</w:t>
      </w:r>
      <w:r>
        <w:rPr>
          <w:rFonts w:hint="eastAsia" w:ascii="宋体" w:hAnsi="宋体" w:eastAsia="宋体" w:cs="宋体"/>
          <w:color w:val="auto"/>
          <w:sz w:val="32"/>
          <w:szCs w:val="32"/>
          <w:highlight w:val="none"/>
          <w:u w:val="single" w:color="auto"/>
          <w:lang w:val="zh-TW" w:eastAsia="zh-TW"/>
        </w:rPr>
        <w:t xml:space="preserve">    </w:t>
      </w:r>
      <w:r>
        <w:rPr>
          <w:rFonts w:hint="eastAsia" w:ascii="宋体" w:hAnsi="宋体" w:eastAsia="宋体" w:cs="宋体"/>
          <w:color w:val="auto"/>
          <w:sz w:val="32"/>
          <w:szCs w:val="32"/>
          <w:highlight w:val="none"/>
          <w:lang w:val="zh-TW" w:eastAsia="zh-TW"/>
        </w:rPr>
        <w:t>日</w:t>
      </w:r>
      <w:r>
        <w:rPr>
          <w:rFonts w:hint="eastAsia" w:ascii="宋体" w:hAnsi="宋体" w:eastAsia="宋体" w:cs="宋体"/>
          <w:color w:val="auto"/>
          <w:sz w:val="32"/>
          <w:szCs w:val="32"/>
          <w:highlight w:val="none"/>
          <w:u w:val="single" w:color="auto"/>
          <w:lang w:val="zh-TW" w:eastAsia="zh-TW"/>
        </w:rPr>
        <w:t xml:space="preserve">    时     </w:t>
      </w:r>
      <w:r>
        <w:rPr>
          <w:rFonts w:hint="eastAsia" w:ascii="宋体" w:hAnsi="宋体" w:eastAsia="宋体" w:cs="宋体"/>
          <w:color w:val="auto"/>
          <w:sz w:val="32"/>
          <w:szCs w:val="32"/>
          <w:highlight w:val="none"/>
          <w:lang w:val="zh-TW" w:eastAsia="zh-TW"/>
        </w:rPr>
        <w:t>分</w:t>
      </w:r>
    </w:p>
    <w:p w14:paraId="46BD3D0B">
      <w:pPr>
        <w:pStyle w:val="31"/>
        <w:framePr w:wrap="auto" w:vAnchor="margin" w:hAnchor="text" w:yAlign="inline"/>
        <w:wordWrap w:val="0"/>
        <w:adjustRightInd w:val="0"/>
        <w:snapToGrid w:val="0"/>
        <w:spacing w:line="360" w:lineRule="auto"/>
        <w:ind w:left="0" w:leftChars="0"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zh-TW" w:eastAsia="zh-TW"/>
        </w:rPr>
        <w:t>（即开启时间）前不得开启</w:t>
      </w:r>
    </w:p>
    <w:p w14:paraId="18EA5FE0">
      <w:pPr>
        <w:pStyle w:val="31"/>
        <w:framePr w:wrap="auto" w:vAnchor="margin" w:hAnchor="text" w:yAlign="inline"/>
        <w:wordWrap w:val="0"/>
        <w:adjustRightInd w:val="0"/>
        <w:snapToGrid w:val="0"/>
        <w:spacing w:line="360" w:lineRule="auto"/>
        <w:ind w:left="0" w:leftChars="0" w:firstLine="0" w:firstLineChars="0"/>
        <w:jc w:val="center"/>
        <w:rPr>
          <w:rFonts w:hint="eastAsia" w:ascii="宋体" w:hAnsi="宋体" w:eastAsia="宋体" w:cs="宋体"/>
          <w:color w:val="auto"/>
          <w:sz w:val="32"/>
          <w:szCs w:val="32"/>
          <w:highlight w:val="none"/>
        </w:rPr>
      </w:pPr>
    </w:p>
    <w:p w14:paraId="316DA2F1">
      <w:pPr>
        <w:pStyle w:val="31"/>
        <w:framePr w:wrap="auto" w:vAnchor="margin" w:hAnchor="text" w:yAlign="inline"/>
        <w:wordWrap w:val="0"/>
        <w:adjustRightInd w:val="0"/>
        <w:snapToGrid w:val="0"/>
        <w:spacing w:line="360" w:lineRule="auto"/>
        <w:rPr>
          <w:rFonts w:hint="eastAsia" w:ascii="宋体" w:hAnsi="宋体" w:eastAsia="宋体" w:cs="宋体"/>
          <w:color w:val="auto"/>
          <w:sz w:val="32"/>
          <w:szCs w:val="32"/>
          <w:highlight w:val="none"/>
        </w:rPr>
      </w:pPr>
    </w:p>
    <w:p w14:paraId="3E8DF182">
      <w:pPr>
        <w:pStyle w:val="31"/>
        <w:framePr w:wrap="auto" w:vAnchor="margin" w:hAnchor="text" w:yAlign="inline"/>
        <w:wordWrap w:val="0"/>
        <w:adjustRightInd w:val="0"/>
        <w:snapToGrid w:val="0"/>
        <w:spacing w:line="360" w:lineRule="auto"/>
        <w:jc w:val="both"/>
        <w:rPr>
          <w:rFonts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lang w:eastAsia="zh-CN"/>
        </w:rPr>
        <w:t>报价函格式</w:t>
      </w:r>
    </w:p>
    <w:p w14:paraId="25871C1F">
      <w:pPr>
        <w:framePr w:wrap="auto" w:vAnchor="margin" w:hAnchor="text" w:yAlign="inline"/>
        <w:wordWrap w:val="0"/>
        <w:jc w:val="center"/>
        <w:rPr>
          <w:rFonts w:hint="eastAsia" w:ascii="宋体" w:hAnsi="宋体" w:eastAsia="宋体" w:cs="宋体"/>
          <w:b w:val="0"/>
          <w:bCs w:val="0"/>
          <w:color w:val="auto"/>
          <w:sz w:val="30"/>
          <w:szCs w:val="30"/>
          <w:highlight w:val="none"/>
          <w:lang w:val="en-US" w:eastAsia="zh-CN"/>
        </w:rPr>
      </w:pPr>
    </w:p>
    <w:p w14:paraId="611BD4F2">
      <w:pPr>
        <w:pStyle w:val="31"/>
        <w:framePr w:wrap="auto" w:vAnchor="margin" w:hAnchor="text" w:yAlign="inline"/>
        <w:numPr>
          <w:ilvl w:val="0"/>
          <w:numId w:val="0"/>
        </w:numPr>
        <w:wordWrap w:val="0"/>
        <w:spacing w:line="520" w:lineRule="exact"/>
        <w:jc w:val="left"/>
        <w:rPr>
          <w:rFonts w:hint="default"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1：根据竞价文件的“第三部分 工程量清单”填写报价函</w:t>
      </w:r>
    </w:p>
    <w:p w14:paraId="081E29B0">
      <w:pPr>
        <w:framePr w:wrap="auto" w:vAnchor="margin" w:hAnchor="text" w:yAlign="inline"/>
        <w:rPr>
          <w:rFonts w:ascii="宋体" w:hAnsi="宋体" w:eastAsia="宋体" w:cs="宋体"/>
          <w:b w:val="0"/>
          <w:bCs w:val="0"/>
          <w:color w:val="auto"/>
          <w:sz w:val="30"/>
          <w:szCs w:val="30"/>
          <w:highlight w:val="none"/>
        </w:rPr>
      </w:pPr>
      <w:bookmarkStart w:id="23" w:name="_Toc486837000"/>
      <w:bookmarkStart w:id="24" w:name="_Toc474920011"/>
      <w:bookmarkStart w:id="25" w:name="_Toc480462724"/>
      <w:bookmarkStart w:id="26" w:name="_Toc39826987"/>
    </w:p>
    <w:p w14:paraId="1F27F4C6">
      <w:pPr>
        <w:framePr w:wrap="auto" w:vAnchor="margin" w:hAnchor="text" w:yAlign="inline"/>
        <w:rPr>
          <w:rFonts w:ascii="宋体" w:hAnsi="宋体" w:eastAsia="宋体" w:cs="宋体"/>
          <w:b w:val="0"/>
          <w:bCs w:val="0"/>
          <w:color w:val="auto"/>
          <w:sz w:val="30"/>
          <w:szCs w:val="30"/>
          <w:highlight w:val="none"/>
        </w:rPr>
      </w:pPr>
    </w:p>
    <w:p w14:paraId="77D7D067">
      <w:pPr>
        <w:framePr w:wrap="auto" w:vAnchor="margin" w:hAnchor="text" w:yAlign="inline"/>
        <w:rPr>
          <w:rFonts w:ascii="宋体" w:hAnsi="宋体" w:eastAsia="宋体" w:cs="宋体"/>
          <w:b w:val="0"/>
          <w:bCs w:val="0"/>
          <w:color w:val="auto"/>
          <w:sz w:val="30"/>
          <w:szCs w:val="30"/>
          <w:highlight w:val="none"/>
        </w:rPr>
      </w:pPr>
    </w:p>
    <w:p w14:paraId="37DB56EA">
      <w:pPr>
        <w:framePr w:wrap="auto" w:vAnchor="margin" w:hAnchor="text" w:yAlign="inline"/>
        <w:rPr>
          <w:rFonts w:ascii="宋体" w:hAnsi="宋体" w:eastAsia="宋体" w:cs="宋体"/>
          <w:b w:val="0"/>
          <w:bCs w:val="0"/>
          <w:color w:val="auto"/>
          <w:sz w:val="30"/>
          <w:szCs w:val="30"/>
          <w:highlight w:val="none"/>
          <w:lang w:eastAsia="zh-CN"/>
        </w:rPr>
      </w:pPr>
    </w:p>
    <w:bookmarkEnd w:id="23"/>
    <w:bookmarkEnd w:id="24"/>
    <w:bookmarkEnd w:id="25"/>
    <w:bookmarkEnd w:id="26"/>
    <w:p w14:paraId="6941D929">
      <w:pPr>
        <w:pStyle w:val="31"/>
        <w:framePr w:wrap="auto" w:vAnchor="margin" w:hAnchor="text" w:yAlign="inline"/>
        <w:wordWrap w:val="0"/>
        <w:adjustRightInd w:val="0"/>
        <w:snapToGrid w:val="0"/>
        <w:spacing w:line="360" w:lineRule="auto"/>
        <w:jc w:val="both"/>
        <w:rPr>
          <w:rFonts w:hint="default" w:ascii="宋体" w:hAnsi="宋体" w:eastAsia="宋体" w:cs="宋体"/>
          <w:color w:val="auto"/>
          <w:sz w:val="32"/>
          <w:szCs w:val="32"/>
          <w:highlight w:val="none"/>
        </w:rPr>
      </w:pPr>
      <w:r>
        <w:rPr>
          <w:rFonts w:hint="eastAsia" w:ascii="宋体" w:hAnsi="宋体" w:eastAsia="宋体" w:cs="宋体"/>
          <w:b/>
          <w:bCs/>
          <w:color w:val="auto"/>
          <w:sz w:val="30"/>
          <w:szCs w:val="30"/>
          <w:highlight w:val="none"/>
          <w:lang w:val="en-US" w:eastAsia="zh-CN"/>
        </w:rPr>
        <w:t>二</w:t>
      </w:r>
      <w:r>
        <w:rPr>
          <w:rFonts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rPr>
        <w:t>营业执照（或事业法人登记证等相关证明）副本复印件</w:t>
      </w:r>
    </w:p>
    <w:p w14:paraId="7DF98E53">
      <w:pPr>
        <w:pStyle w:val="31"/>
        <w:framePr w:wrap="auto" w:vAnchor="margin" w:hAnchor="text" w:yAlign="inline"/>
        <w:wordWrap w:val="0"/>
        <w:spacing w:line="520" w:lineRule="exact"/>
        <w:jc w:val="left"/>
        <w:rPr>
          <w:rFonts w:hint="eastAsia" w:ascii="宋体" w:hAnsi="宋体" w:eastAsia="宋体" w:cs="宋体"/>
          <w:b w:val="0"/>
          <w:bCs w:val="0"/>
          <w:color w:val="auto"/>
          <w:sz w:val="30"/>
          <w:szCs w:val="30"/>
          <w:highlight w:val="none"/>
          <w:lang w:val="en-US" w:eastAsia="zh-CN"/>
        </w:rPr>
      </w:pPr>
    </w:p>
    <w:p w14:paraId="590BFA57">
      <w:pPr>
        <w:framePr w:wrap="auto" w:vAnchor="margin" w:hAnchor="text" w:yAlign="inline"/>
        <w:rPr>
          <w:rFonts w:ascii="宋体" w:hAnsi="宋体" w:eastAsia="宋体" w:cs="宋体"/>
          <w:b w:val="0"/>
          <w:bCs w:val="0"/>
          <w:color w:val="auto"/>
          <w:sz w:val="30"/>
          <w:szCs w:val="30"/>
          <w:highlight w:val="none"/>
        </w:rPr>
      </w:pPr>
    </w:p>
    <w:p w14:paraId="03DC769B">
      <w:pPr>
        <w:framePr w:wrap="auto" w:vAnchor="margin" w:hAnchor="text" w:yAlign="inline"/>
        <w:rPr>
          <w:rFonts w:ascii="宋体" w:hAnsi="宋体" w:eastAsia="宋体" w:cs="宋体"/>
          <w:b w:val="0"/>
          <w:bCs w:val="0"/>
          <w:color w:val="auto"/>
          <w:sz w:val="30"/>
          <w:szCs w:val="30"/>
          <w:highlight w:val="none"/>
        </w:rPr>
      </w:pPr>
    </w:p>
    <w:p w14:paraId="40FE47E4">
      <w:pPr>
        <w:framePr w:wrap="auto" w:vAnchor="margin" w:hAnchor="text" w:yAlign="inline"/>
        <w:rPr>
          <w:rFonts w:ascii="宋体" w:hAnsi="宋体" w:eastAsia="宋体" w:cs="宋体"/>
          <w:b w:val="0"/>
          <w:bCs w:val="0"/>
          <w:color w:val="auto"/>
          <w:sz w:val="30"/>
          <w:szCs w:val="30"/>
          <w:highlight w:val="none"/>
        </w:rPr>
      </w:pPr>
    </w:p>
    <w:p w14:paraId="6762F433">
      <w:pPr>
        <w:framePr w:wrap="auto" w:vAnchor="margin" w:hAnchor="text" w:yAlign="inline"/>
        <w:rPr>
          <w:rFonts w:ascii="宋体" w:hAnsi="宋体" w:eastAsia="宋体" w:cs="宋体"/>
          <w:b w:val="0"/>
          <w:bCs w:val="0"/>
          <w:color w:val="auto"/>
          <w:sz w:val="30"/>
          <w:szCs w:val="30"/>
          <w:highlight w:val="none"/>
        </w:rPr>
      </w:pPr>
    </w:p>
    <w:p w14:paraId="2D14DF0A">
      <w:pPr>
        <w:framePr w:wrap="auto" w:vAnchor="margin" w:hAnchor="text" w:yAlign="inline"/>
        <w:rPr>
          <w:rFonts w:ascii="宋体" w:hAnsi="宋体" w:eastAsia="宋体" w:cs="宋体"/>
          <w:b w:val="0"/>
          <w:bCs w:val="0"/>
          <w:color w:val="auto"/>
          <w:sz w:val="30"/>
          <w:szCs w:val="30"/>
          <w:highlight w:val="none"/>
        </w:rPr>
      </w:pPr>
    </w:p>
    <w:p w14:paraId="664CB5C2">
      <w:pPr>
        <w:framePr w:wrap="auto" w:vAnchor="margin" w:hAnchor="text" w:yAlign="inline"/>
        <w:rPr>
          <w:rFonts w:ascii="宋体" w:hAnsi="宋体" w:eastAsia="宋体" w:cs="宋体"/>
          <w:b w:val="0"/>
          <w:bCs w:val="0"/>
          <w:color w:val="auto"/>
          <w:sz w:val="30"/>
          <w:szCs w:val="30"/>
          <w:highlight w:val="none"/>
        </w:rPr>
      </w:pPr>
      <w:r>
        <w:rPr>
          <w:rFonts w:hint="eastAsia" w:ascii="宋体" w:hAnsi="宋体" w:eastAsia="宋体" w:cs="宋体"/>
          <w:b/>
          <w:bCs/>
          <w:color w:val="auto"/>
          <w:sz w:val="30"/>
          <w:szCs w:val="30"/>
          <w:highlight w:val="none"/>
          <w:lang w:val="en-US" w:eastAsia="zh-CN"/>
        </w:rPr>
        <w:t>三、相关资质复印件</w:t>
      </w:r>
    </w:p>
    <w:p w14:paraId="6A91FD2C">
      <w:pPr>
        <w:pStyle w:val="31"/>
        <w:framePr w:wrap="auto" w:vAnchor="margin" w:hAnchor="text" w:yAlign="inline"/>
        <w:wordWrap w:val="0"/>
        <w:adjustRightInd w:val="0"/>
        <w:snapToGrid w:val="0"/>
        <w:spacing w:line="360" w:lineRule="auto"/>
        <w:rPr>
          <w:rFonts w:hint="eastAsia" w:ascii="宋体" w:hAnsi="宋体" w:eastAsia="宋体" w:cs="宋体"/>
          <w:color w:val="auto"/>
          <w:sz w:val="32"/>
          <w:szCs w:val="32"/>
          <w:highlight w:val="none"/>
        </w:rPr>
      </w:pPr>
    </w:p>
    <w:p w14:paraId="79C719C4">
      <w:pPr>
        <w:pStyle w:val="31"/>
        <w:framePr w:wrap="auto" w:vAnchor="margin" w:hAnchor="text" w:yAlign="inline"/>
        <w:wordWrap w:val="0"/>
        <w:adjustRightInd w:val="0"/>
        <w:snapToGrid w:val="0"/>
        <w:spacing w:line="360" w:lineRule="auto"/>
        <w:rPr>
          <w:rFonts w:hint="eastAsia" w:ascii="宋体" w:hAnsi="宋体" w:eastAsia="宋体" w:cs="宋体"/>
          <w:color w:val="auto"/>
          <w:sz w:val="32"/>
          <w:szCs w:val="32"/>
          <w:highlight w:val="none"/>
        </w:rPr>
      </w:pPr>
    </w:p>
    <w:sectPr>
      <w:footerReference r:id="rId8" w:type="default"/>
      <w:pgSz w:w="11900" w:h="16840"/>
      <w:pgMar w:top="1440" w:right="1803" w:bottom="1440" w:left="1803" w:header="851" w:footer="992" w:gutter="0"/>
      <w:pgBorders>
        <w:top w:val="none" w:sz="0" w:space="0"/>
        <w:left w:val="none" w:sz="0" w:space="0"/>
        <w:bottom w:val="none" w:sz="0" w:space="0"/>
        <w:right w:val="none" w:sz="0" w:space="0"/>
      </w:pgBorders>
      <w:pgNumType w:fmt="decimal" w:start="2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仿宋"/>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97CF">
    <w:pPr>
      <w:pStyle w:val="30"/>
      <w:framePr w:wrap="auto" w:vAnchor="margin" w:hAnchor="text" w:yAlign="inline"/>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22D5">
    <w:pPr>
      <w:pStyle w:val="30"/>
      <w:framePr w:wrap="auto" w:vAnchor="margin" w:hAnchor="text" w:yAlign="inline"/>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512C499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512C499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1EBA">
    <w:pPr>
      <w:widowControl w:val="0"/>
      <w:snapToGrid w:val="0"/>
      <w:jc w:val="center"/>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posOffset>2110740</wp:posOffset>
              </wp:positionH>
              <wp:positionV relativeFrom="paragraph">
                <wp:posOffset>8953500</wp:posOffset>
              </wp:positionV>
              <wp:extent cx="1132205" cy="28575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132205" cy="28575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46FFC50D">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square" lIns="0" tIns="0" rIns="0" bIns="0" numCol="1" spcCol="38100" rtlCol="0" fromWordArt="0" anchor="t" anchorCtr="0" forceAA="0" upright="0" compatLnSpc="1">
                      <a:noAutofit/>
                    </wps:bodyPr>
                  </wps:wsp>
                </a:graphicData>
              </a:graphic>
            </wp:anchor>
          </w:drawing>
        </mc:Choice>
        <mc:Fallback>
          <w:pict>
            <v:shape id="_x0000_s1026" o:spid="_x0000_s1026" o:spt="202" type="#_x0000_t202" style="position:absolute;left:0pt;margin-left:166.2pt;margin-top:705pt;height:22.5pt;width:89.15pt;mso-position-horizontal-relative:margin;z-index:251660288;mso-width-relative:page;mso-height-relative:page;" filled="f" stroked="f" coordsize="21600,21600" o:gfxdata="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c7zRdkAAAANAQAA&#10;DwAAAAAAAAABACAAAAAiAAAAZHJzL2Rvd25yZXYueG1sUEsBAhQAFAAAAAgAh07iQItNmqtRAgAA&#10;iwQAAA4AAAAAAAAAAQAgAAAAKAEAAGRycy9lMm9Eb2MueG1sUEsFBgAAAAAGAAYAWQEAAOsFAAAA&#10;AA==&#10;">
              <v:fill on="f" focussize="0,0"/>
              <v:stroke on="f" weight="1pt" miterlimit="4" joinstyle="miter"/>
              <v:imagedata o:title=""/>
              <o:lock v:ext="edit" aspectratio="f"/>
              <v:textbox inset="0mm,0mm,0mm,0mm">
                <w:txbxContent>
                  <w:p w14:paraId="46FFC50D">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C718">
    <w:pPr>
      <w:framePr w:wrap="around"/>
      <w:widowControl w:val="0"/>
      <w:snapToGrid w:val="0"/>
      <w:jc w:val="center"/>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posOffset>2110740</wp:posOffset>
              </wp:positionH>
              <wp:positionV relativeFrom="paragraph">
                <wp:posOffset>8953500</wp:posOffset>
              </wp:positionV>
              <wp:extent cx="1132205" cy="285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32205" cy="28575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4B57B9E9">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square" lIns="0" tIns="0" rIns="0" bIns="0" numCol="1" spcCol="38100" rtlCol="0" fromWordArt="0" anchor="t" anchorCtr="0" forceAA="0" upright="0" compatLnSpc="1">
                      <a:noAutofit/>
                    </wps:bodyPr>
                  </wps:wsp>
                </a:graphicData>
              </a:graphic>
            </wp:anchor>
          </w:drawing>
        </mc:Choice>
        <mc:Fallback>
          <w:pict>
            <v:shape id="_x0000_s1026" o:spid="_x0000_s1026" o:spt="202" type="#_x0000_t202" style="position:absolute;left:0pt;margin-left:166.2pt;margin-top:705pt;height:22.5pt;width:89.15pt;mso-position-horizontal-relative:margin;z-index:251661312;mso-width-relative:page;mso-height-relative:page;" filled="f" stroked="f" coordsize="21600,21600" o:gfxdata="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3O80XZAAAADQEAAA8A&#10;AAAAAAAAAQAgAAAAIgAAAGRycy9kb3ducmV2LnhtbFBLAQIUABQAAAAIAIdO4kDM6r1PTwIAAIkE&#10;AAAOAAAAAAAAAAEAIAAAACgBAABkcnMvZTJvRG9jLnhtbFBLBQYAAAAABgAGAFkBAADpBQAAAAA=&#10;">
              <v:fill on="f" focussize="0,0"/>
              <v:stroke on="f" weight="1pt" miterlimit="4" joinstyle="miter"/>
              <v:imagedata o:title=""/>
              <o:lock v:ext="edit" aspectratio="f"/>
              <v:textbox inset="0mm,0mm,0mm,0mm">
                <w:txbxContent>
                  <w:p w14:paraId="4B57B9E9">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4FE1">
    <w:pPr>
      <w:pStyle w:val="30"/>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FFCA">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BDBB2"/>
    <w:multiLevelType w:val="singleLevel"/>
    <w:tmpl w:val="981BDBB2"/>
    <w:lvl w:ilvl="0" w:tentative="0">
      <w:start w:val="2"/>
      <w:numFmt w:val="decimal"/>
      <w:suff w:val="nothing"/>
      <w:lvlText w:val="%1、"/>
      <w:lvlJc w:val="left"/>
    </w:lvl>
  </w:abstractNum>
  <w:abstractNum w:abstractNumId="1">
    <w:nsid w:val="AB7716AD"/>
    <w:multiLevelType w:val="singleLevel"/>
    <w:tmpl w:val="AB7716A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hYjNjYTJjMTZkY2RjMWVmYzNiZTc3ZmUyZjg1NmUifQ=="/>
  </w:docVars>
  <w:rsids>
    <w:rsidRoot w:val="00172A27"/>
    <w:rsid w:val="00172A27"/>
    <w:rsid w:val="006A50FA"/>
    <w:rsid w:val="007326DF"/>
    <w:rsid w:val="007A2F1C"/>
    <w:rsid w:val="00A0552E"/>
    <w:rsid w:val="00B55AF9"/>
    <w:rsid w:val="00B8196E"/>
    <w:rsid w:val="00BC3D7B"/>
    <w:rsid w:val="00C309D2"/>
    <w:rsid w:val="00C9085C"/>
    <w:rsid w:val="00FA70CD"/>
    <w:rsid w:val="014C1F37"/>
    <w:rsid w:val="019E2DBE"/>
    <w:rsid w:val="023966D0"/>
    <w:rsid w:val="023A3A33"/>
    <w:rsid w:val="024300FB"/>
    <w:rsid w:val="024C15CF"/>
    <w:rsid w:val="02547825"/>
    <w:rsid w:val="02B04ABC"/>
    <w:rsid w:val="02C2004A"/>
    <w:rsid w:val="02C24895"/>
    <w:rsid w:val="038672E8"/>
    <w:rsid w:val="043113F9"/>
    <w:rsid w:val="043F299D"/>
    <w:rsid w:val="044B0E64"/>
    <w:rsid w:val="048A7457"/>
    <w:rsid w:val="0491260D"/>
    <w:rsid w:val="049E7588"/>
    <w:rsid w:val="050D4849"/>
    <w:rsid w:val="05623797"/>
    <w:rsid w:val="061D0A00"/>
    <w:rsid w:val="06304F9D"/>
    <w:rsid w:val="06415FBB"/>
    <w:rsid w:val="071A025A"/>
    <w:rsid w:val="073F2629"/>
    <w:rsid w:val="07CD0348"/>
    <w:rsid w:val="07D74797"/>
    <w:rsid w:val="07ED6D23"/>
    <w:rsid w:val="081F5B7A"/>
    <w:rsid w:val="0899642B"/>
    <w:rsid w:val="09116FB1"/>
    <w:rsid w:val="095A7CB3"/>
    <w:rsid w:val="098D00AD"/>
    <w:rsid w:val="09E6423A"/>
    <w:rsid w:val="0A0A4661"/>
    <w:rsid w:val="0A576863"/>
    <w:rsid w:val="0A9B78EE"/>
    <w:rsid w:val="0AA6363C"/>
    <w:rsid w:val="0AB93C82"/>
    <w:rsid w:val="0AD81455"/>
    <w:rsid w:val="0B2B3E47"/>
    <w:rsid w:val="0B93489F"/>
    <w:rsid w:val="0BB37C4B"/>
    <w:rsid w:val="0BE81DF9"/>
    <w:rsid w:val="0C9A1D8E"/>
    <w:rsid w:val="0CC25F19"/>
    <w:rsid w:val="0D381DBD"/>
    <w:rsid w:val="0D9951E8"/>
    <w:rsid w:val="0DC363ED"/>
    <w:rsid w:val="0E9D794C"/>
    <w:rsid w:val="0FD52CE0"/>
    <w:rsid w:val="0FD9253D"/>
    <w:rsid w:val="0FDB5EA5"/>
    <w:rsid w:val="0FFA6EBC"/>
    <w:rsid w:val="100D6828"/>
    <w:rsid w:val="106543DC"/>
    <w:rsid w:val="10B218B8"/>
    <w:rsid w:val="10CD5EA6"/>
    <w:rsid w:val="11380CCB"/>
    <w:rsid w:val="140E413A"/>
    <w:rsid w:val="14FA6062"/>
    <w:rsid w:val="15A136FE"/>
    <w:rsid w:val="15B07E81"/>
    <w:rsid w:val="16786FA1"/>
    <w:rsid w:val="168F20CE"/>
    <w:rsid w:val="16977C12"/>
    <w:rsid w:val="16E516C6"/>
    <w:rsid w:val="174838EF"/>
    <w:rsid w:val="17981E8F"/>
    <w:rsid w:val="1861482A"/>
    <w:rsid w:val="19583322"/>
    <w:rsid w:val="195E6747"/>
    <w:rsid w:val="1A5D7931"/>
    <w:rsid w:val="1AD638BE"/>
    <w:rsid w:val="1B0150F1"/>
    <w:rsid w:val="1B1D3FD6"/>
    <w:rsid w:val="1B2C7B36"/>
    <w:rsid w:val="1B7955E1"/>
    <w:rsid w:val="1BDD3DA5"/>
    <w:rsid w:val="1BED1392"/>
    <w:rsid w:val="1BFB69C0"/>
    <w:rsid w:val="1C0F29B1"/>
    <w:rsid w:val="1C322BB7"/>
    <w:rsid w:val="1CAC2181"/>
    <w:rsid w:val="1CBF1566"/>
    <w:rsid w:val="1CF20A54"/>
    <w:rsid w:val="1CFF68B4"/>
    <w:rsid w:val="1D657B48"/>
    <w:rsid w:val="1D970CFC"/>
    <w:rsid w:val="1DB23C0B"/>
    <w:rsid w:val="1EFA5217"/>
    <w:rsid w:val="1F625542"/>
    <w:rsid w:val="1F8F77FD"/>
    <w:rsid w:val="201062FC"/>
    <w:rsid w:val="203325E5"/>
    <w:rsid w:val="20381050"/>
    <w:rsid w:val="205163BE"/>
    <w:rsid w:val="219132FB"/>
    <w:rsid w:val="21C47050"/>
    <w:rsid w:val="21FD4113"/>
    <w:rsid w:val="22D00EB0"/>
    <w:rsid w:val="22F1606B"/>
    <w:rsid w:val="2351663C"/>
    <w:rsid w:val="23AB43E8"/>
    <w:rsid w:val="245A088B"/>
    <w:rsid w:val="245F0C9E"/>
    <w:rsid w:val="24A006CC"/>
    <w:rsid w:val="24B45492"/>
    <w:rsid w:val="24FB5CB3"/>
    <w:rsid w:val="262C6D90"/>
    <w:rsid w:val="26BE19EF"/>
    <w:rsid w:val="26FA7E2A"/>
    <w:rsid w:val="27BD54C6"/>
    <w:rsid w:val="284E0260"/>
    <w:rsid w:val="28A450B9"/>
    <w:rsid w:val="28C64C12"/>
    <w:rsid w:val="28D6674B"/>
    <w:rsid w:val="28E7251D"/>
    <w:rsid w:val="294A72C5"/>
    <w:rsid w:val="29565F0F"/>
    <w:rsid w:val="29765334"/>
    <w:rsid w:val="299E3781"/>
    <w:rsid w:val="29DB69C6"/>
    <w:rsid w:val="2B774634"/>
    <w:rsid w:val="2C677130"/>
    <w:rsid w:val="2CB12B13"/>
    <w:rsid w:val="2CFF41D5"/>
    <w:rsid w:val="2D2640D4"/>
    <w:rsid w:val="2DB33930"/>
    <w:rsid w:val="2DB7701A"/>
    <w:rsid w:val="2DB97FB3"/>
    <w:rsid w:val="2E046D43"/>
    <w:rsid w:val="2E185319"/>
    <w:rsid w:val="2E2D62CC"/>
    <w:rsid w:val="2E39100B"/>
    <w:rsid w:val="2E4034A0"/>
    <w:rsid w:val="2EDE37A2"/>
    <w:rsid w:val="2EEC77D7"/>
    <w:rsid w:val="2F690995"/>
    <w:rsid w:val="2FA03983"/>
    <w:rsid w:val="31820D34"/>
    <w:rsid w:val="31D1754E"/>
    <w:rsid w:val="320F2F73"/>
    <w:rsid w:val="322D042D"/>
    <w:rsid w:val="327E16D2"/>
    <w:rsid w:val="32A05A6D"/>
    <w:rsid w:val="32D02EF5"/>
    <w:rsid w:val="32FD030B"/>
    <w:rsid w:val="337404A1"/>
    <w:rsid w:val="33A81F17"/>
    <w:rsid w:val="340F04F3"/>
    <w:rsid w:val="35642D82"/>
    <w:rsid w:val="35E421F9"/>
    <w:rsid w:val="361F3BD3"/>
    <w:rsid w:val="36CC0C86"/>
    <w:rsid w:val="36E11002"/>
    <w:rsid w:val="370E04C5"/>
    <w:rsid w:val="371834E5"/>
    <w:rsid w:val="372C4A22"/>
    <w:rsid w:val="37314A6B"/>
    <w:rsid w:val="37B04845"/>
    <w:rsid w:val="37DD445E"/>
    <w:rsid w:val="38A807CE"/>
    <w:rsid w:val="38CD5385"/>
    <w:rsid w:val="3AB652D5"/>
    <w:rsid w:val="3AD54DCB"/>
    <w:rsid w:val="3AFB30DD"/>
    <w:rsid w:val="3B286FE0"/>
    <w:rsid w:val="3B497155"/>
    <w:rsid w:val="3B512DAC"/>
    <w:rsid w:val="3B9C1436"/>
    <w:rsid w:val="3BA75327"/>
    <w:rsid w:val="3C301A6B"/>
    <w:rsid w:val="3C3257D1"/>
    <w:rsid w:val="3C4871B9"/>
    <w:rsid w:val="3D1E02FB"/>
    <w:rsid w:val="3D2B59E9"/>
    <w:rsid w:val="3DB15680"/>
    <w:rsid w:val="3E410621"/>
    <w:rsid w:val="3E647790"/>
    <w:rsid w:val="3E772B72"/>
    <w:rsid w:val="3F5D3D7D"/>
    <w:rsid w:val="3FA10590"/>
    <w:rsid w:val="3FD117E4"/>
    <w:rsid w:val="3FD87226"/>
    <w:rsid w:val="3FEA7A79"/>
    <w:rsid w:val="400224F5"/>
    <w:rsid w:val="4033666C"/>
    <w:rsid w:val="40A25D3E"/>
    <w:rsid w:val="40B05440"/>
    <w:rsid w:val="41000ED7"/>
    <w:rsid w:val="415A648B"/>
    <w:rsid w:val="41A43864"/>
    <w:rsid w:val="420416B7"/>
    <w:rsid w:val="423A2EF4"/>
    <w:rsid w:val="42480BEE"/>
    <w:rsid w:val="4282199D"/>
    <w:rsid w:val="42CD4900"/>
    <w:rsid w:val="44935E12"/>
    <w:rsid w:val="451E2F5B"/>
    <w:rsid w:val="455436D3"/>
    <w:rsid w:val="45AF17BA"/>
    <w:rsid w:val="45BA47D3"/>
    <w:rsid w:val="46171F44"/>
    <w:rsid w:val="46C42F35"/>
    <w:rsid w:val="46D05AEB"/>
    <w:rsid w:val="4703605D"/>
    <w:rsid w:val="479A3252"/>
    <w:rsid w:val="48794621"/>
    <w:rsid w:val="4885485B"/>
    <w:rsid w:val="488C3E1C"/>
    <w:rsid w:val="48921A9D"/>
    <w:rsid w:val="493B5A4A"/>
    <w:rsid w:val="49415E3C"/>
    <w:rsid w:val="499C7517"/>
    <w:rsid w:val="49D20000"/>
    <w:rsid w:val="4B1E4D42"/>
    <w:rsid w:val="4B9A2838"/>
    <w:rsid w:val="4CB9722B"/>
    <w:rsid w:val="4D2F1B44"/>
    <w:rsid w:val="4D6D2823"/>
    <w:rsid w:val="4EB27EE8"/>
    <w:rsid w:val="4FCF1240"/>
    <w:rsid w:val="510A7280"/>
    <w:rsid w:val="5199576E"/>
    <w:rsid w:val="519F2ED6"/>
    <w:rsid w:val="51B55CF0"/>
    <w:rsid w:val="51EB08AF"/>
    <w:rsid w:val="524170EC"/>
    <w:rsid w:val="52885F20"/>
    <w:rsid w:val="52BA21D8"/>
    <w:rsid w:val="535328CC"/>
    <w:rsid w:val="53844015"/>
    <w:rsid w:val="53CD3DB2"/>
    <w:rsid w:val="53D85B2C"/>
    <w:rsid w:val="53ED3F12"/>
    <w:rsid w:val="54153486"/>
    <w:rsid w:val="54921FFB"/>
    <w:rsid w:val="54AC25F6"/>
    <w:rsid w:val="54C942CF"/>
    <w:rsid w:val="551014B3"/>
    <w:rsid w:val="555A7110"/>
    <w:rsid w:val="555E3C11"/>
    <w:rsid w:val="55D93423"/>
    <w:rsid w:val="55F10CA7"/>
    <w:rsid w:val="568B2C88"/>
    <w:rsid w:val="56B8033A"/>
    <w:rsid w:val="57021FF1"/>
    <w:rsid w:val="570441D3"/>
    <w:rsid w:val="575B27BF"/>
    <w:rsid w:val="577578C4"/>
    <w:rsid w:val="58F51880"/>
    <w:rsid w:val="58FB6E27"/>
    <w:rsid w:val="59065871"/>
    <w:rsid w:val="5A6C3B35"/>
    <w:rsid w:val="5A701556"/>
    <w:rsid w:val="5AEC1D43"/>
    <w:rsid w:val="5B081D8F"/>
    <w:rsid w:val="5B1222C1"/>
    <w:rsid w:val="5B5A24DB"/>
    <w:rsid w:val="5B841066"/>
    <w:rsid w:val="5B8F661B"/>
    <w:rsid w:val="5BAC5C27"/>
    <w:rsid w:val="5BC3207D"/>
    <w:rsid w:val="5C8C126B"/>
    <w:rsid w:val="5C9F730C"/>
    <w:rsid w:val="5CAC3721"/>
    <w:rsid w:val="5CCD5552"/>
    <w:rsid w:val="5D0C4B73"/>
    <w:rsid w:val="5D1F68FE"/>
    <w:rsid w:val="5D954414"/>
    <w:rsid w:val="5D9E0276"/>
    <w:rsid w:val="5DE16107"/>
    <w:rsid w:val="5E0377E8"/>
    <w:rsid w:val="5E550C74"/>
    <w:rsid w:val="5E7774AE"/>
    <w:rsid w:val="5F304531"/>
    <w:rsid w:val="5FFD841A"/>
    <w:rsid w:val="6056454E"/>
    <w:rsid w:val="605C5044"/>
    <w:rsid w:val="60F811B6"/>
    <w:rsid w:val="6250537A"/>
    <w:rsid w:val="62842A8A"/>
    <w:rsid w:val="628F7C91"/>
    <w:rsid w:val="62C81DDF"/>
    <w:rsid w:val="63850EF3"/>
    <w:rsid w:val="6421269A"/>
    <w:rsid w:val="64343753"/>
    <w:rsid w:val="646B5AF4"/>
    <w:rsid w:val="64D23995"/>
    <w:rsid w:val="650B4576"/>
    <w:rsid w:val="655B557A"/>
    <w:rsid w:val="65750EF0"/>
    <w:rsid w:val="660A102C"/>
    <w:rsid w:val="662004A1"/>
    <w:rsid w:val="66DC2E14"/>
    <w:rsid w:val="66DE31DE"/>
    <w:rsid w:val="67492634"/>
    <w:rsid w:val="67760BCD"/>
    <w:rsid w:val="6785318B"/>
    <w:rsid w:val="69602269"/>
    <w:rsid w:val="69A057C9"/>
    <w:rsid w:val="69A27515"/>
    <w:rsid w:val="69A311B6"/>
    <w:rsid w:val="69CF659F"/>
    <w:rsid w:val="6A1B123A"/>
    <w:rsid w:val="6A771E2F"/>
    <w:rsid w:val="6A9A6851"/>
    <w:rsid w:val="6D2B77AF"/>
    <w:rsid w:val="6D903084"/>
    <w:rsid w:val="6D9429F2"/>
    <w:rsid w:val="6DA27FF8"/>
    <w:rsid w:val="6E6762FD"/>
    <w:rsid w:val="6EFF1E99"/>
    <w:rsid w:val="6F2E3518"/>
    <w:rsid w:val="6F3E4B51"/>
    <w:rsid w:val="6F5A1A2F"/>
    <w:rsid w:val="6FA32ACE"/>
    <w:rsid w:val="6FA80A40"/>
    <w:rsid w:val="701A4460"/>
    <w:rsid w:val="70F63422"/>
    <w:rsid w:val="71524287"/>
    <w:rsid w:val="717B7693"/>
    <w:rsid w:val="717F6CC2"/>
    <w:rsid w:val="71B1081E"/>
    <w:rsid w:val="71BF7E52"/>
    <w:rsid w:val="7265409A"/>
    <w:rsid w:val="72D96974"/>
    <w:rsid w:val="730F67BB"/>
    <w:rsid w:val="73314959"/>
    <w:rsid w:val="73376ADC"/>
    <w:rsid w:val="73774085"/>
    <w:rsid w:val="73C14AB2"/>
    <w:rsid w:val="73FC46A6"/>
    <w:rsid w:val="74697E0C"/>
    <w:rsid w:val="74C302F2"/>
    <w:rsid w:val="750039F8"/>
    <w:rsid w:val="753E4CE6"/>
    <w:rsid w:val="754363F3"/>
    <w:rsid w:val="756A3E1D"/>
    <w:rsid w:val="75B545B1"/>
    <w:rsid w:val="76147BCB"/>
    <w:rsid w:val="7657546E"/>
    <w:rsid w:val="76615AF7"/>
    <w:rsid w:val="768F5040"/>
    <w:rsid w:val="76B55335"/>
    <w:rsid w:val="76CF38AD"/>
    <w:rsid w:val="77B24188"/>
    <w:rsid w:val="77DD680A"/>
    <w:rsid w:val="7889342D"/>
    <w:rsid w:val="789A2E8C"/>
    <w:rsid w:val="7908342F"/>
    <w:rsid w:val="7967704C"/>
    <w:rsid w:val="79A11556"/>
    <w:rsid w:val="7A1C2C5E"/>
    <w:rsid w:val="7A6B2F64"/>
    <w:rsid w:val="7A87523A"/>
    <w:rsid w:val="7AE35C69"/>
    <w:rsid w:val="7B0E5932"/>
    <w:rsid w:val="7B172EE5"/>
    <w:rsid w:val="7B5527F0"/>
    <w:rsid w:val="7B735A7A"/>
    <w:rsid w:val="7B7FB21E"/>
    <w:rsid w:val="7BA577E9"/>
    <w:rsid w:val="7BA94AC9"/>
    <w:rsid w:val="7BB34D31"/>
    <w:rsid w:val="7BF179A9"/>
    <w:rsid w:val="7C37455E"/>
    <w:rsid w:val="7CA9041D"/>
    <w:rsid w:val="7D057841"/>
    <w:rsid w:val="7D4B110B"/>
    <w:rsid w:val="7DBA5B2F"/>
    <w:rsid w:val="7E3855A4"/>
    <w:rsid w:val="7FB8524F"/>
    <w:rsid w:val="7FDD23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paragraph" w:styleId="4">
    <w:name w:val="heading 1"/>
    <w:basedOn w:val="1"/>
    <w:next w:val="1"/>
    <w:autoRedefine/>
    <w:qFormat/>
    <w:uiPriority w:val="9"/>
    <w:pPr>
      <w:keepNext/>
      <w:keepLines/>
      <w:spacing w:before="340" w:after="330" w:line="578" w:lineRule="auto"/>
      <w:jc w:val="center"/>
      <w:outlineLvl w:val="0"/>
    </w:pPr>
    <w:rPr>
      <w:rFonts w:eastAsia="方正小标宋简体"/>
      <w:bCs/>
      <w:kern w:val="44"/>
      <w:sz w:val="28"/>
      <w:szCs w:val="44"/>
    </w:rPr>
  </w:style>
  <w:style w:type="paragraph" w:styleId="5">
    <w:name w:val="heading 2"/>
    <w:basedOn w:val="1"/>
    <w:next w:val="1"/>
    <w:autoRedefine/>
    <w:unhideWhenUsed/>
    <w:qFormat/>
    <w:uiPriority w:val="9"/>
    <w:pPr>
      <w:keepNext/>
      <w:keepLines/>
      <w:spacing w:before="120" w:after="120"/>
      <w:jc w:val="center"/>
      <w:outlineLvl w:val="1"/>
    </w:pPr>
    <w:rPr>
      <w:rFonts w:asciiTheme="majorHAnsi" w:hAnsiTheme="majorHAnsi" w:cstheme="majorBidi"/>
      <w:bCs/>
      <w:szCs w:val="32"/>
    </w:rPr>
  </w:style>
  <w:style w:type="paragraph" w:styleId="6">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sz w:val="20"/>
      <w:szCs w:val="20"/>
      <w:lang w:val="zh-CN" w:eastAsia="zh-CN" w:bidi="zh-CN"/>
    </w:rPr>
  </w:style>
  <w:style w:type="paragraph" w:customStyle="1" w:styleId="3">
    <w:name w:val="Quote1"/>
    <w:next w:val="1"/>
    <w:autoRedefine/>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8">
    <w:name w:val="annotation text"/>
    <w:basedOn w:val="1"/>
    <w:autoRedefine/>
    <w:qFormat/>
    <w:uiPriority w:val="0"/>
  </w:style>
  <w:style w:type="paragraph" w:styleId="9">
    <w:name w:val="Body Text Indent"/>
    <w:basedOn w:val="1"/>
    <w:autoRedefine/>
    <w:qFormat/>
    <w:uiPriority w:val="0"/>
    <w:pPr>
      <w:spacing w:line="460" w:lineRule="exact"/>
      <w:ind w:firstLine="482" w:firstLineChars="200"/>
    </w:pPr>
    <w:rPr>
      <w:b/>
      <w:bCs/>
      <w:shd w:val="clear" w:color="auto" w:fill="CCCCCC"/>
    </w:rPr>
  </w:style>
  <w:style w:type="paragraph" w:styleId="10">
    <w:name w:val="Plain Text"/>
    <w:basedOn w:val="1"/>
    <w:autoRedefine/>
    <w:qFormat/>
    <w:uiPriority w:val="0"/>
    <w:rPr>
      <w:rFonts w:ascii="宋体" w:hAnsi="Courier New"/>
      <w:sz w:val="20"/>
    </w:rPr>
  </w:style>
  <w:style w:type="paragraph" w:styleId="11">
    <w:name w:val="Body Text Indent 2"/>
    <w:basedOn w:val="1"/>
    <w:autoRedefine/>
    <w:qFormat/>
    <w:uiPriority w:val="0"/>
    <w:pPr>
      <w:spacing w:after="120" w:line="480" w:lineRule="auto"/>
      <w:ind w:left="420" w:leftChars="200"/>
    </w:pPr>
    <w:rPr>
      <w:rFonts w:eastAsia="仿宋_GB2312"/>
      <w:sz w:val="32"/>
    </w:rPr>
  </w:style>
  <w:style w:type="paragraph" w:styleId="12">
    <w:name w:val="footer"/>
    <w:basedOn w:val="1"/>
    <w:link w:val="39"/>
    <w:autoRedefine/>
    <w:qFormat/>
    <w:uiPriority w:val="0"/>
    <w:pPr>
      <w:tabs>
        <w:tab w:val="center" w:pos="4153"/>
        <w:tab w:val="right" w:pos="8306"/>
      </w:tabs>
      <w:snapToGrid w:val="0"/>
    </w:pPr>
    <w:rPr>
      <w:sz w:val="18"/>
      <w:szCs w:val="18"/>
    </w:rPr>
  </w:style>
  <w:style w:type="paragraph" w:styleId="13">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line="360" w:lineRule="auto"/>
      <w:ind w:firstLine="560" w:firstLineChars="200"/>
    </w:pPr>
    <w:rPr>
      <w:rFonts w:ascii="宋体" w:hAnsi="宋体"/>
      <w:sz w:val="28"/>
    </w:rPr>
  </w:style>
  <w:style w:type="paragraph" w:styleId="16">
    <w:name w:val="Normal (Web)"/>
    <w:basedOn w:val="1"/>
    <w:autoRedefine/>
    <w:qFormat/>
    <w:uiPriority w:val="0"/>
    <w:pPr>
      <w:spacing w:beforeAutospacing="1" w:afterAutospacing="1"/>
    </w:pPr>
    <w:rPr>
      <w:lang w:eastAsia="zh-CN"/>
    </w:rPr>
  </w:style>
  <w:style w:type="paragraph" w:styleId="17">
    <w:name w:val="Title"/>
    <w:basedOn w:val="1"/>
    <w:next w:val="1"/>
    <w:qFormat/>
    <w:uiPriority w:val="0"/>
    <w:pPr>
      <w:widowControl w:val="0"/>
      <w:spacing w:before="240" w:after="60"/>
      <w:jc w:val="center"/>
      <w:outlineLvl w:val="0"/>
    </w:pPr>
    <w:rPr>
      <w:rFonts w:ascii="Cambria" w:hAnsi="Cambria" w:eastAsia="宋体" w:cs="Times New Roman"/>
      <w:b/>
      <w:bCs/>
      <w:kern w:val="21"/>
      <w:sz w:val="32"/>
      <w:szCs w:val="32"/>
      <w:lang w:val="en-US" w:eastAsia="zh-CN" w:bidi="ar-SA"/>
    </w:rPr>
  </w:style>
  <w:style w:type="paragraph" w:styleId="18">
    <w:name w:val="Body Text First Indent 2"/>
    <w:basedOn w:val="9"/>
    <w:next w:val="11"/>
    <w:autoRedefine/>
    <w:qFormat/>
    <w:uiPriority w:val="0"/>
    <w:pPr>
      <w:spacing w:after="120" w:line="240" w:lineRule="auto"/>
      <w:ind w:left="420" w:leftChars="200" w:firstLine="420"/>
    </w:pPr>
    <w:rPr>
      <w:rFonts w:cs="宋体"/>
      <w:sz w:val="21"/>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qFormat/>
    <w:uiPriority w:val="0"/>
  </w:style>
  <w:style w:type="character" w:styleId="24">
    <w:name w:val="Hyperlink"/>
    <w:autoRedefine/>
    <w:qFormat/>
    <w:uiPriority w:val="0"/>
    <w:rPr>
      <w:u w:val="single"/>
    </w:rPr>
  </w:style>
  <w:style w:type="paragraph" w:customStyle="1" w:styleId="25">
    <w:name w:val="BodyText1I2"/>
    <w:basedOn w:val="26"/>
    <w:next w:val="1"/>
    <w:autoRedefine/>
    <w:qFormat/>
    <w:uiPriority w:val="0"/>
  </w:style>
  <w:style w:type="paragraph" w:customStyle="1" w:styleId="26">
    <w:name w:val="BodyTextIndent"/>
    <w:basedOn w:val="1"/>
    <w:autoRedefine/>
    <w:qFormat/>
    <w:uiPriority w:val="0"/>
    <w:pPr>
      <w:widowControl/>
      <w:spacing w:line="357" w:lineRule="atLeast"/>
      <w:ind w:firstLine="525"/>
      <w:textAlignment w:val="baseline"/>
    </w:pPr>
    <w:rPr>
      <w:rFonts w:hAnsi="Calibri" w:eastAsia="Times New Roman"/>
      <w:color w:val="000000"/>
      <w:sz w:val="28"/>
      <w:szCs w:val="22"/>
    </w:rPr>
  </w:style>
  <w:style w:type="paragraph" w:customStyle="1" w:styleId="27">
    <w:name w:val="z正文"/>
    <w:basedOn w:val="10"/>
    <w:autoRedefine/>
    <w:qFormat/>
    <w:uiPriority w:val="99"/>
    <w:pPr>
      <w:tabs>
        <w:tab w:val="left" w:pos="525"/>
      </w:tabs>
      <w:snapToGrid w:val="0"/>
      <w:spacing w:line="360" w:lineRule="auto"/>
    </w:pPr>
    <w:rPr>
      <w:rFonts w:hAnsi="宋体"/>
      <w:kern w:val="2"/>
      <w:sz w:val="24"/>
      <w:szCs w:val="20"/>
    </w:rPr>
  </w:style>
  <w:style w:type="paragraph" w:customStyle="1" w:styleId="28">
    <w:name w:val="正文正"/>
    <w:basedOn w:val="1"/>
    <w:autoRedefine/>
    <w:qFormat/>
    <w:uiPriority w:val="0"/>
    <w:pPr>
      <w:spacing w:line="560" w:lineRule="exact"/>
      <w:ind w:firstLine="561"/>
    </w:pPr>
    <w:rPr>
      <w:rFonts w:ascii="Calibri" w:hAnsi="Calibri"/>
      <w:sz w:val="28"/>
      <w:szCs w:val="28"/>
    </w:rPr>
  </w:style>
  <w:style w:type="table" w:customStyle="1" w:styleId="29">
    <w:name w:val="Table Normal"/>
    <w:autoRedefine/>
    <w:qFormat/>
    <w:uiPriority w:val="0"/>
    <w:tblPr>
      <w:tblCellMar>
        <w:top w:w="0" w:type="dxa"/>
        <w:left w:w="0" w:type="dxa"/>
        <w:bottom w:w="0" w:type="dxa"/>
        <w:right w:w="0" w:type="dxa"/>
      </w:tblCellMar>
    </w:tblPr>
  </w:style>
  <w:style w:type="paragraph" w:customStyle="1" w:styleId="30">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1">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32">
    <w:name w:val="List Paragraph"/>
    <w:basedOn w:val="1"/>
    <w:autoRedefine/>
    <w:qFormat/>
    <w:uiPriority w:val="0"/>
    <w:pPr>
      <w:ind w:firstLine="420" w:firstLineChars="200"/>
    </w:pPr>
  </w:style>
  <w:style w:type="paragraph" w:customStyle="1" w:styleId="33">
    <w:name w:val="Normal_141"/>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4">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Cs w:val="0"/>
      <w:sz w:val="28"/>
      <w:szCs w:val="20"/>
    </w:rPr>
  </w:style>
  <w:style w:type="character" w:customStyle="1" w:styleId="35">
    <w:name w:val="font41"/>
    <w:basedOn w:val="21"/>
    <w:autoRedefine/>
    <w:qFormat/>
    <w:uiPriority w:val="0"/>
    <w:rPr>
      <w:rFonts w:ascii="黑体" w:hAnsi="宋体" w:eastAsia="黑体" w:cs="黑体"/>
      <w:b/>
      <w:color w:val="000000"/>
      <w:sz w:val="21"/>
      <w:szCs w:val="21"/>
      <w:u w:val="none"/>
    </w:rPr>
  </w:style>
  <w:style w:type="paragraph" w:customStyle="1" w:styleId="36">
    <w:name w:val="Table Paragraph"/>
    <w:basedOn w:val="1"/>
    <w:autoRedefine/>
    <w:qFormat/>
    <w:uiPriority w:val="1"/>
    <w:rPr>
      <w:rFonts w:ascii="宋体" w:hAnsi="宋体" w:eastAsia="宋体" w:cs="宋体"/>
      <w:lang w:val="zh-CN" w:eastAsia="zh-CN" w:bidi="zh-CN"/>
    </w:rPr>
  </w:style>
  <w:style w:type="character" w:customStyle="1" w:styleId="37">
    <w:name w:val="font81"/>
    <w:basedOn w:val="21"/>
    <w:autoRedefine/>
    <w:qFormat/>
    <w:uiPriority w:val="0"/>
    <w:rPr>
      <w:rFonts w:hint="default" w:ascii="Calibri" w:hAnsi="Calibri" w:cs="Calibri"/>
      <w:color w:val="000000"/>
      <w:sz w:val="18"/>
      <w:szCs w:val="18"/>
      <w:u w:val="none"/>
    </w:rPr>
  </w:style>
  <w:style w:type="character" w:customStyle="1" w:styleId="38">
    <w:name w:val="页眉 字符"/>
    <w:basedOn w:val="21"/>
    <w:link w:val="13"/>
    <w:autoRedefine/>
    <w:qFormat/>
    <w:uiPriority w:val="0"/>
    <w:rPr>
      <w:rFonts w:eastAsia="Arial Unicode MS"/>
      <w:sz w:val="18"/>
      <w:szCs w:val="18"/>
      <w:lang w:eastAsia="en-US"/>
    </w:rPr>
  </w:style>
  <w:style w:type="character" w:customStyle="1" w:styleId="39">
    <w:name w:val="页脚 字符"/>
    <w:basedOn w:val="21"/>
    <w:link w:val="12"/>
    <w:autoRedefine/>
    <w:qFormat/>
    <w:uiPriority w:val="0"/>
    <w:rPr>
      <w:rFonts w:eastAsia="Arial Unicode MS"/>
      <w:sz w:val="18"/>
      <w:szCs w:val="18"/>
      <w:lang w:eastAsia="en-US"/>
    </w:rPr>
  </w:style>
  <w:style w:type="paragraph" w:customStyle="1" w:styleId="40">
    <w:name w:val="Other|1"/>
    <w:basedOn w:val="1"/>
    <w:autoRedefine/>
    <w:qFormat/>
    <w:uiPriority w:val="0"/>
    <w:pPr>
      <w:widowControl w:val="0"/>
      <w:shd w:val="clear" w:color="auto" w:fill="auto"/>
      <w:spacing w:after="180"/>
      <w:ind w:firstLine="140"/>
    </w:pPr>
    <w:rPr>
      <w:rFonts w:ascii="宋体" w:hAnsi="宋体" w:eastAsia="宋体" w:cs="宋体"/>
      <w:sz w:val="20"/>
      <w:szCs w:val="20"/>
      <w:u w:val="none"/>
      <w:shd w:val="clear" w:color="auto" w:fill="auto"/>
      <w:lang w:val="zh-TW" w:eastAsia="zh-TW" w:bidi="zh-TW"/>
    </w:rPr>
  </w:style>
  <w:style w:type="paragraph" w:customStyle="1" w:styleId="41">
    <w:name w:val="图"/>
    <w:basedOn w:val="1"/>
    <w:autoRedefine/>
    <w:unhideWhenUsed/>
    <w:qFormat/>
    <w:uiPriority w:val="0"/>
    <w:pPr>
      <w:keepNext/>
      <w:autoSpaceDE/>
      <w:autoSpaceDN/>
      <w:spacing w:before="60" w:beforeLines="0" w:after="60" w:afterLines="0" w:line="300" w:lineRule="auto"/>
      <w:jc w:val="center"/>
      <w:textAlignment w:val="center"/>
    </w:pPr>
    <w:rPr>
      <w:rFonts w:hint="default"/>
      <w:snapToGrid w:val="0"/>
      <w:spacing w:val="20"/>
      <w:sz w:val="24"/>
      <w:szCs w:val="21"/>
    </w:rPr>
  </w:style>
  <w:style w:type="paragraph" w:customStyle="1" w:styleId="42">
    <w:name w:val="Table Text"/>
    <w:basedOn w:val="1"/>
    <w:autoRedefine/>
    <w:semiHidden/>
    <w:qFormat/>
    <w:uiPriority w:val="0"/>
    <w:rPr>
      <w:rFonts w:ascii="宋体" w:hAnsi="宋体" w:eastAsia="宋体" w:cs="宋体"/>
      <w:sz w:val="22"/>
      <w:szCs w:val="22"/>
      <w:lang w:val="en-US" w:eastAsia="en-US" w:bidi="ar-SA"/>
    </w:rPr>
  </w:style>
  <w:style w:type="character" w:customStyle="1" w:styleId="43">
    <w:name w:val="NormalCharacter"/>
    <w:qFormat/>
    <w:uiPriority w:val="0"/>
    <w:rPr>
      <w:rFonts w:ascii="Times New Roman" w:hAnsi="Times New Roman" w:eastAsia="宋体"/>
    </w:rPr>
  </w:style>
  <w:style w:type="character" w:customStyle="1" w:styleId="44">
    <w:name w:val="font171"/>
    <w:basedOn w:val="21"/>
    <w:qFormat/>
    <w:uiPriority w:val="0"/>
    <w:rPr>
      <w:rFonts w:hint="eastAsia" w:ascii="宋体" w:hAnsi="宋体" w:eastAsia="宋体" w:cs="宋体"/>
      <w:b/>
      <w:bCs/>
      <w:color w:val="FF0000"/>
      <w:sz w:val="36"/>
      <w:szCs w:val="36"/>
      <w:u w:val="none"/>
    </w:rPr>
  </w:style>
  <w:style w:type="character" w:customStyle="1" w:styleId="45">
    <w:name w:val="font151"/>
    <w:basedOn w:val="21"/>
    <w:qFormat/>
    <w:uiPriority w:val="0"/>
    <w:rPr>
      <w:rFonts w:hint="eastAsia" w:ascii="宋体" w:hAnsi="宋体" w:eastAsia="宋体" w:cs="宋体"/>
      <w:b/>
      <w:bCs/>
      <w:color w:val="000000"/>
      <w:sz w:val="18"/>
      <w:szCs w:val="18"/>
      <w:u w:val="none"/>
    </w:rPr>
  </w:style>
  <w:style w:type="character" w:customStyle="1" w:styleId="46">
    <w:name w:val="font181"/>
    <w:basedOn w:val="21"/>
    <w:qFormat/>
    <w:uiPriority w:val="0"/>
    <w:rPr>
      <w:rFonts w:hint="eastAsia" w:ascii="宋体" w:hAnsi="宋体" w:eastAsia="宋体" w:cs="宋体"/>
      <w:b/>
      <w:bCs/>
      <w:color w:val="000000"/>
      <w:sz w:val="18"/>
      <w:szCs w:val="18"/>
      <w:u w:val="single"/>
    </w:rPr>
  </w:style>
  <w:style w:type="character" w:customStyle="1" w:styleId="47">
    <w:name w:val="font161"/>
    <w:basedOn w:val="21"/>
    <w:qFormat/>
    <w:uiPriority w:val="0"/>
    <w:rPr>
      <w:rFonts w:hint="eastAsia" w:ascii="宋体" w:hAnsi="宋体" w:eastAsia="宋体" w:cs="宋体"/>
      <w:color w:val="000000"/>
      <w:sz w:val="20"/>
      <w:szCs w:val="20"/>
      <w:u w:val="none"/>
    </w:rPr>
  </w:style>
  <w:style w:type="character" w:customStyle="1" w:styleId="48">
    <w:name w:val="font191"/>
    <w:basedOn w:val="21"/>
    <w:qFormat/>
    <w:uiPriority w:val="0"/>
    <w:rPr>
      <w:rFonts w:hint="default" w:ascii="Arial" w:hAnsi="Arial" w:cs="Arial"/>
      <w:color w:val="000000"/>
      <w:sz w:val="20"/>
      <w:szCs w:val="20"/>
      <w:u w:val="none"/>
    </w:rPr>
  </w:style>
  <w:style w:type="character" w:customStyle="1" w:styleId="49">
    <w:name w:val="font141"/>
    <w:basedOn w:val="21"/>
    <w:qFormat/>
    <w:uiPriority w:val="0"/>
    <w:rPr>
      <w:rFonts w:hint="eastAsia" w:ascii="宋体" w:hAnsi="宋体" w:eastAsia="宋体" w:cs="宋体"/>
      <w:b/>
      <w:bCs/>
      <w:color w:val="FF0000"/>
      <w:sz w:val="36"/>
      <w:szCs w:val="36"/>
      <w:u w:val="none"/>
    </w:rPr>
  </w:style>
  <w:style w:type="character" w:customStyle="1" w:styleId="50">
    <w:name w:val="font121"/>
    <w:basedOn w:val="21"/>
    <w:qFormat/>
    <w:uiPriority w:val="0"/>
    <w:rPr>
      <w:rFonts w:hint="eastAsia" w:ascii="宋体" w:hAnsi="宋体" w:eastAsia="宋体" w:cs="宋体"/>
      <w:b/>
      <w:bCs/>
      <w:color w:val="000000"/>
      <w:sz w:val="18"/>
      <w:szCs w:val="18"/>
      <w:u w:val="none"/>
    </w:rPr>
  </w:style>
  <w:style w:type="character" w:customStyle="1" w:styleId="51">
    <w:name w:val="font131"/>
    <w:basedOn w:val="21"/>
    <w:qFormat/>
    <w:uiPriority w:val="0"/>
    <w:rPr>
      <w:rFonts w:hint="eastAsia" w:ascii="宋体" w:hAnsi="宋体" w:eastAsia="宋体" w:cs="宋体"/>
      <w:color w:val="000000"/>
      <w:sz w:val="20"/>
      <w:szCs w:val="20"/>
      <w:u w:val="none"/>
    </w:rPr>
  </w:style>
  <w:style w:type="character" w:customStyle="1" w:styleId="52">
    <w:name w:val="font122"/>
    <w:basedOn w:val="21"/>
    <w:qFormat/>
    <w:uiPriority w:val="0"/>
    <w:rPr>
      <w:rFonts w:hint="eastAsia" w:ascii="仿宋" w:hAnsi="仿宋" w:eastAsia="仿宋" w:cs="仿宋"/>
      <w:b/>
      <w:bCs/>
      <w:color w:val="000000"/>
      <w:sz w:val="24"/>
      <w:szCs w:val="24"/>
      <w:u w:val="single"/>
    </w:rPr>
  </w:style>
  <w:style w:type="character" w:customStyle="1" w:styleId="53">
    <w:name w:val="font61"/>
    <w:basedOn w:val="21"/>
    <w:qFormat/>
    <w:uiPriority w:val="0"/>
    <w:rPr>
      <w:rFonts w:hint="eastAsia" w:ascii="仿宋" w:hAnsi="仿宋" w:eastAsia="仿宋" w:cs="仿宋"/>
      <w:b/>
      <w:bCs/>
      <w:color w:val="000000"/>
      <w:sz w:val="24"/>
      <w:szCs w:val="24"/>
      <w:u w:val="none"/>
    </w:rPr>
  </w:style>
  <w:style w:type="character" w:customStyle="1" w:styleId="54">
    <w:name w:val="font111"/>
    <w:basedOn w:val="21"/>
    <w:qFormat/>
    <w:uiPriority w:val="0"/>
    <w:rPr>
      <w:rFonts w:hint="eastAsia" w:ascii="宋体" w:hAnsi="宋体" w:eastAsia="宋体" w:cs="宋体"/>
      <w:color w:val="000000"/>
      <w:sz w:val="20"/>
      <w:szCs w:val="20"/>
      <w:u w:val="none"/>
    </w:rPr>
  </w:style>
  <w:style w:type="character" w:customStyle="1" w:styleId="55">
    <w:name w:val="font91"/>
    <w:qFormat/>
    <w:uiPriority w:val="0"/>
    <w:rPr>
      <w:rFonts w:hint="eastAsia" w:ascii="仿宋" w:hAnsi="仿宋" w:eastAsia="仿宋" w:cs="仿宋"/>
      <w:b/>
      <w:bCs/>
      <w:color w:val="000000"/>
      <w:sz w:val="22"/>
      <w:szCs w:val="22"/>
      <w:u w:val="none"/>
    </w:rPr>
  </w:style>
  <w:style w:type="character" w:customStyle="1" w:styleId="56">
    <w:name w:val="font31"/>
    <w:qFormat/>
    <w:uiPriority w:val="0"/>
    <w:rPr>
      <w:rFonts w:hint="eastAsia" w:ascii="仿宋" w:hAnsi="仿宋" w:eastAsia="仿宋" w:cs="仿宋"/>
      <w:b/>
      <w:bCs/>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1458</Words>
  <Characters>1666</Characters>
  <Lines>1</Lines>
  <Paragraphs>1</Paragraphs>
  <TotalTime>1</TotalTime>
  <ScaleCrop>false</ScaleCrop>
  <LinksUpToDate>false</LinksUpToDate>
  <CharactersWithSpaces>1692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2021-03-10T17:33:00Z</dcterms:created>
  <dc:creator>IBM</dc:creator>
  <cp:lastModifiedBy>WPS_1734938428</cp:lastModifiedBy>
  <cp:lastPrinted>2022-11-11T03:25:00Z</cp:lastPrinted>
  <dcterms:modified xsi:type="dcterms:W3CDTF">2025-12-08T09:00:09Z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6A2F14C068244FA6B78AC714B885EE35_13</vt:lpwstr>
  </property>
  <property fmtid="{D5CDD505-2E9C-101B-9397-08002B2CF9AE}" pid="4" name="commondata">
    <vt:lpwstr>eyJoZGlkIjoiYjJkZmE2OTBmZTMyMzA3ODFhOGJmNmE3MTVmOWE3YWEifQ==</vt:lpwstr>
  </property>
  <property fmtid="{D5CDD505-2E9C-101B-9397-08002B2CF9AE}" pid="5" name="KSOTemplateDocerSaveRecord">
    <vt:lpwstr>eyJoZGlkIjoiZTcwNDdlYTI1OTFhMDMyZjIzNDQ4NGFmYzk0ZjJkYmQiLCJ1c2VySWQiOiIxNjY4MjkxOTUwIn0=</vt:lpwstr>
  </property>
</Properties>
</file>